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42B92" w:rsidRDefault="00A03817" w:rsidP="005458C3">
      <w:pPr>
        <w:spacing w:after="0" w:line="240" w:lineRule="auto"/>
        <w:jc w:val="center"/>
        <w:rPr>
          <w:rFonts w:ascii="Times New Roman" w:hAnsi="Times New Roman" w:cs="Times New Roman"/>
          <w:b/>
          <w:sz w:val="28"/>
          <w:szCs w:val="28"/>
        </w:rPr>
      </w:pPr>
      <w:r w:rsidRPr="00842B92">
        <w:rPr>
          <w:rFonts w:ascii="Times New Roman" w:hAnsi="Times New Roman" w:cs="Times New Roman"/>
          <w:b/>
          <w:sz w:val="28"/>
          <w:szCs w:val="28"/>
        </w:rPr>
        <w:t xml:space="preserve">MENSAGEM Nº </w:t>
      </w:r>
      <w:r w:rsidR="007F62DF">
        <w:rPr>
          <w:rFonts w:ascii="Times New Roman" w:hAnsi="Times New Roman" w:cs="Times New Roman"/>
          <w:b/>
          <w:sz w:val="28"/>
          <w:szCs w:val="28"/>
        </w:rPr>
        <w:t>084</w:t>
      </w:r>
      <w:r w:rsidRPr="00842B92">
        <w:rPr>
          <w:rFonts w:ascii="Times New Roman" w:hAnsi="Times New Roman" w:cs="Times New Roman"/>
          <w:b/>
          <w:sz w:val="28"/>
          <w:szCs w:val="28"/>
        </w:rPr>
        <w:t xml:space="preserve">, </w:t>
      </w:r>
      <w:r w:rsidR="007F62DF">
        <w:rPr>
          <w:rFonts w:ascii="Times New Roman" w:hAnsi="Times New Roman" w:cs="Times New Roman"/>
          <w:b/>
          <w:sz w:val="28"/>
          <w:szCs w:val="28"/>
        </w:rPr>
        <w:t>19</w:t>
      </w:r>
      <w:r w:rsidRPr="00842B92">
        <w:rPr>
          <w:rFonts w:ascii="Times New Roman" w:hAnsi="Times New Roman" w:cs="Times New Roman"/>
          <w:b/>
          <w:sz w:val="28"/>
          <w:szCs w:val="28"/>
        </w:rPr>
        <w:t xml:space="preserve"> DE </w:t>
      </w:r>
      <w:r w:rsidR="00842B92" w:rsidRPr="00842B92">
        <w:rPr>
          <w:rFonts w:ascii="Times New Roman" w:hAnsi="Times New Roman" w:cs="Times New Roman"/>
          <w:b/>
          <w:sz w:val="28"/>
          <w:szCs w:val="28"/>
        </w:rPr>
        <w:t>DEZEMBRO</w:t>
      </w:r>
      <w:r w:rsidRPr="00842B92">
        <w:rPr>
          <w:rFonts w:ascii="Times New Roman" w:hAnsi="Times New Roman" w:cs="Times New Roman"/>
          <w:b/>
          <w:sz w:val="28"/>
          <w:szCs w:val="28"/>
        </w:rPr>
        <w:t xml:space="preserve"> DE 2025.</w:t>
      </w: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rPr>
          <w:rFonts w:ascii="Times New Roman" w:hAnsi="Times New Roman" w:cs="Times New Roman"/>
          <w:sz w:val="28"/>
          <w:szCs w:val="28"/>
        </w:rPr>
      </w:pPr>
      <w:r w:rsidRPr="00842B92">
        <w:rPr>
          <w:rFonts w:ascii="Times New Roman" w:hAnsi="Times New Roman" w:cs="Times New Roman"/>
          <w:sz w:val="28"/>
          <w:szCs w:val="28"/>
        </w:rPr>
        <w:t xml:space="preserve">      Senhor Presidente, Senhores Vereadores:</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both"/>
        <w:rPr>
          <w:rFonts w:ascii="Times New Roman" w:hAnsi="Times New Roman" w:cs="Times New Roman"/>
          <w:sz w:val="28"/>
          <w:szCs w:val="28"/>
        </w:rPr>
      </w:pPr>
      <w:r w:rsidRPr="00842B92">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842B92">
        <w:rPr>
          <w:rFonts w:ascii="Times New Roman" w:hAnsi="Times New Roman" w:cs="Times New Roman"/>
          <w:sz w:val="28"/>
          <w:szCs w:val="28"/>
        </w:rPr>
        <w:t>d</w:t>
      </w:r>
      <w:r w:rsidRPr="00842B92">
        <w:rPr>
          <w:rFonts w:ascii="Times New Roman" w:hAnsi="Times New Roman" w:cs="Times New Roman"/>
          <w:sz w:val="28"/>
          <w:szCs w:val="28"/>
        </w:rPr>
        <w:t>e Lei que “</w:t>
      </w:r>
      <w:bookmarkStart w:id="0" w:name="_Hlk216957899"/>
      <w:r w:rsidR="001D4C8F" w:rsidRPr="001D4C8F">
        <w:rPr>
          <w:rFonts w:ascii="Times New Roman" w:eastAsia="Times New Roman" w:hAnsi="Times New Roman" w:cs="Times New Roman"/>
          <w:b/>
          <w:bCs/>
          <w:kern w:val="0"/>
          <w:sz w:val="28"/>
          <w:szCs w:val="28"/>
          <w:lang w:eastAsia="pt-BR"/>
        </w:rPr>
        <w:t>Autoriza o Poder Executivo Municipal a estabelecer parcerias</w:t>
      </w:r>
      <w:r w:rsidR="001D4C8F">
        <w:rPr>
          <w:rFonts w:ascii="Times New Roman" w:eastAsia="Times New Roman" w:hAnsi="Times New Roman" w:cs="Times New Roman"/>
          <w:b/>
          <w:bCs/>
          <w:kern w:val="0"/>
          <w:sz w:val="28"/>
          <w:szCs w:val="28"/>
          <w:lang w:eastAsia="pt-BR"/>
        </w:rPr>
        <w:t xml:space="preserve">, </w:t>
      </w:r>
      <w:r w:rsidR="001D4C8F" w:rsidRPr="001D4C8F">
        <w:rPr>
          <w:rFonts w:ascii="Times New Roman" w:eastAsia="Times New Roman" w:hAnsi="Times New Roman" w:cs="Times New Roman"/>
          <w:b/>
          <w:bCs/>
          <w:kern w:val="0"/>
          <w:sz w:val="28"/>
          <w:szCs w:val="28"/>
          <w:lang w:eastAsia="pt-BR"/>
        </w:rPr>
        <w:t>firmar convênios</w:t>
      </w:r>
      <w:r w:rsidR="001D4C8F">
        <w:rPr>
          <w:rFonts w:ascii="Times New Roman" w:eastAsia="Times New Roman" w:hAnsi="Times New Roman" w:cs="Times New Roman"/>
          <w:b/>
          <w:bCs/>
          <w:kern w:val="0"/>
          <w:sz w:val="28"/>
          <w:szCs w:val="28"/>
          <w:lang w:eastAsia="pt-BR"/>
        </w:rPr>
        <w:t xml:space="preserve">, </w:t>
      </w:r>
      <w:r w:rsidR="001D4C8F" w:rsidRPr="001D4C8F">
        <w:rPr>
          <w:rFonts w:ascii="Times New Roman" w:eastAsia="Times New Roman" w:hAnsi="Times New Roman" w:cs="Times New Roman"/>
          <w:b/>
          <w:bCs/>
          <w:kern w:val="0"/>
          <w:sz w:val="28"/>
          <w:szCs w:val="28"/>
          <w:lang w:eastAsia="pt-BR"/>
        </w:rPr>
        <w:t>contratos</w:t>
      </w:r>
      <w:r w:rsidR="001D4C8F">
        <w:rPr>
          <w:rFonts w:ascii="Times New Roman" w:eastAsia="Times New Roman" w:hAnsi="Times New Roman" w:cs="Times New Roman"/>
          <w:b/>
          <w:bCs/>
          <w:kern w:val="0"/>
          <w:sz w:val="28"/>
          <w:szCs w:val="28"/>
          <w:lang w:eastAsia="pt-BR"/>
        </w:rPr>
        <w:t>, termos</w:t>
      </w:r>
      <w:r w:rsidR="001D4C8F" w:rsidRPr="001D4C8F">
        <w:rPr>
          <w:rFonts w:ascii="Times New Roman" w:eastAsia="Times New Roman" w:hAnsi="Times New Roman" w:cs="Times New Roman"/>
          <w:b/>
          <w:bCs/>
          <w:kern w:val="0"/>
          <w:sz w:val="28"/>
          <w:szCs w:val="28"/>
          <w:lang w:eastAsia="pt-BR"/>
        </w:rPr>
        <w:t xml:space="preserve"> de cooperação técnicae administrativa </w:t>
      </w:r>
      <w:r w:rsidR="001D4C8F">
        <w:rPr>
          <w:rFonts w:ascii="Times New Roman" w:eastAsia="Times New Roman" w:hAnsi="Times New Roman" w:cs="Times New Roman"/>
          <w:b/>
          <w:bCs/>
          <w:kern w:val="0"/>
          <w:sz w:val="28"/>
          <w:szCs w:val="28"/>
          <w:lang w:eastAsia="pt-BR"/>
        </w:rPr>
        <w:t>ou instrumentos congêneres</w:t>
      </w:r>
      <w:r w:rsidR="001D4C8F" w:rsidRPr="001D4C8F">
        <w:rPr>
          <w:rFonts w:ascii="Times New Roman" w:eastAsia="Times New Roman" w:hAnsi="Times New Roman" w:cs="Times New Roman"/>
          <w:b/>
          <w:bCs/>
          <w:kern w:val="0"/>
          <w:sz w:val="28"/>
          <w:szCs w:val="28"/>
          <w:lang w:eastAsia="pt-BR"/>
        </w:rPr>
        <w:t xml:space="preserve"> com instituições financeiras, para instalação de posto</w:t>
      </w:r>
      <w:r w:rsidR="001D4C8F">
        <w:rPr>
          <w:rFonts w:ascii="Times New Roman" w:eastAsia="Times New Roman" w:hAnsi="Times New Roman" w:cs="Times New Roman"/>
          <w:b/>
          <w:bCs/>
          <w:kern w:val="0"/>
          <w:sz w:val="28"/>
          <w:szCs w:val="28"/>
          <w:lang w:eastAsia="pt-BR"/>
        </w:rPr>
        <w:t>s, agências e espaços</w:t>
      </w:r>
      <w:r w:rsidR="001D4C8F" w:rsidRPr="001D4C8F">
        <w:rPr>
          <w:rFonts w:ascii="Times New Roman" w:eastAsia="Times New Roman" w:hAnsi="Times New Roman" w:cs="Times New Roman"/>
          <w:b/>
          <w:bCs/>
          <w:kern w:val="0"/>
          <w:sz w:val="28"/>
          <w:szCs w:val="28"/>
          <w:lang w:eastAsia="pt-BR"/>
        </w:rPr>
        <w:t xml:space="preserve"> de atendimento bancário </w:t>
      </w:r>
      <w:r w:rsidR="001D4C8F">
        <w:rPr>
          <w:rFonts w:ascii="Times New Roman" w:eastAsia="Times New Roman" w:hAnsi="Times New Roman" w:cs="Times New Roman"/>
          <w:b/>
          <w:bCs/>
          <w:kern w:val="0"/>
          <w:sz w:val="28"/>
          <w:szCs w:val="28"/>
          <w:lang w:eastAsia="pt-BR"/>
        </w:rPr>
        <w:t xml:space="preserve">no Município de Santa Margarida do Sul </w:t>
      </w:r>
      <w:r w:rsidR="001D4C8F" w:rsidRPr="001D4C8F">
        <w:rPr>
          <w:rFonts w:ascii="Times New Roman" w:eastAsia="Times New Roman" w:hAnsi="Times New Roman" w:cs="Times New Roman"/>
          <w:b/>
          <w:bCs/>
          <w:kern w:val="0"/>
          <w:sz w:val="28"/>
          <w:szCs w:val="28"/>
          <w:lang w:eastAsia="pt-BR"/>
        </w:rPr>
        <w:t>e dá outras providências</w:t>
      </w:r>
      <w:bookmarkEnd w:id="0"/>
      <w:r w:rsidR="001D4C8F" w:rsidRPr="001D4C8F">
        <w:rPr>
          <w:rFonts w:ascii="Times New Roman" w:eastAsia="Times New Roman" w:hAnsi="Times New Roman" w:cs="Times New Roman"/>
          <w:b/>
          <w:bCs/>
          <w:kern w:val="0"/>
          <w:sz w:val="28"/>
          <w:szCs w:val="28"/>
          <w:lang w:eastAsia="pt-BR"/>
        </w:rPr>
        <w:t>.</w:t>
      </w:r>
      <w:r w:rsidR="001D4C8F">
        <w:rPr>
          <w:rFonts w:ascii="Times New Roman" w:eastAsia="Times New Roman" w:hAnsi="Times New Roman" w:cs="Times New Roman"/>
          <w:b/>
          <w:bCs/>
          <w:kern w:val="0"/>
          <w:sz w:val="28"/>
          <w:szCs w:val="28"/>
          <w:lang w:eastAsia="pt-BR"/>
        </w:rPr>
        <w:t>”</w:t>
      </w:r>
      <w:r w:rsidR="00842B92" w:rsidRPr="00842B92">
        <w:rPr>
          <w:rFonts w:ascii="Times New Roman" w:hAnsi="Times New Roman" w:cs="Times New Roman"/>
          <w:sz w:val="28"/>
          <w:szCs w:val="28"/>
        </w:rPr>
        <w:t>.</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r w:rsidRPr="00842B92">
        <w:rPr>
          <w:rFonts w:ascii="Times New Roman" w:hAnsi="Times New Roman" w:cs="Times New Roman"/>
          <w:sz w:val="28"/>
          <w:szCs w:val="28"/>
        </w:rPr>
        <w:t xml:space="preserve">    Santa Margarida do Sul, </w:t>
      </w:r>
      <w:r w:rsidR="007F62DF">
        <w:rPr>
          <w:rFonts w:ascii="Times New Roman" w:hAnsi="Times New Roman" w:cs="Times New Roman"/>
          <w:sz w:val="28"/>
          <w:szCs w:val="28"/>
        </w:rPr>
        <w:t>19</w:t>
      </w:r>
      <w:r w:rsidRPr="00842B92">
        <w:rPr>
          <w:rFonts w:ascii="Times New Roman" w:hAnsi="Times New Roman" w:cs="Times New Roman"/>
          <w:sz w:val="28"/>
          <w:szCs w:val="28"/>
        </w:rPr>
        <w:t xml:space="preserve"> de </w:t>
      </w:r>
      <w:r w:rsidR="00842B92" w:rsidRPr="00842B92">
        <w:rPr>
          <w:rFonts w:ascii="Times New Roman" w:hAnsi="Times New Roman" w:cs="Times New Roman"/>
          <w:sz w:val="28"/>
          <w:szCs w:val="28"/>
        </w:rPr>
        <w:t>dezembro</w:t>
      </w:r>
      <w:r w:rsidRPr="00842B92">
        <w:rPr>
          <w:rFonts w:ascii="Times New Roman" w:hAnsi="Times New Roman" w:cs="Times New Roman"/>
          <w:sz w:val="28"/>
          <w:szCs w:val="28"/>
        </w:rPr>
        <w:t xml:space="preserve"> de 2025.</w:t>
      </w:r>
    </w:p>
    <w:p w:rsidR="00A03817" w:rsidRPr="00842B92" w:rsidRDefault="00A03817" w:rsidP="005458C3">
      <w:pPr>
        <w:spacing w:after="0" w:line="240" w:lineRule="auto"/>
        <w:jc w:val="right"/>
        <w:rPr>
          <w:rFonts w:ascii="Times New Roman" w:hAnsi="Times New Roman" w:cs="Times New Roman"/>
          <w:sz w:val="28"/>
          <w:szCs w:val="28"/>
        </w:rPr>
      </w:pPr>
    </w:p>
    <w:p w:rsidR="00A03817" w:rsidRDefault="00A03817" w:rsidP="005458C3">
      <w:pPr>
        <w:spacing w:after="0" w:line="240" w:lineRule="auto"/>
        <w:jc w:val="right"/>
        <w:rPr>
          <w:rFonts w:ascii="Times New Roman" w:hAnsi="Times New Roman" w:cs="Times New Roman"/>
          <w:sz w:val="28"/>
          <w:szCs w:val="28"/>
        </w:rPr>
      </w:pPr>
    </w:p>
    <w:p w:rsidR="00E10140" w:rsidRDefault="00E10140" w:rsidP="005458C3">
      <w:pPr>
        <w:spacing w:after="0" w:line="240" w:lineRule="auto"/>
        <w:jc w:val="right"/>
        <w:rPr>
          <w:rFonts w:ascii="Times New Roman" w:hAnsi="Times New Roman" w:cs="Times New Roman"/>
          <w:sz w:val="28"/>
          <w:szCs w:val="28"/>
        </w:rPr>
      </w:pPr>
    </w:p>
    <w:p w:rsidR="00E10140" w:rsidRPr="00842B92" w:rsidRDefault="00E10140"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LUIZ FELIPE BRENNER MACHADO</w:t>
      </w:r>
    </w:p>
    <w:p w:rsidR="008D0958"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842B92" w:rsidRPr="00842B92" w:rsidRDefault="00BF2DE1"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lastRenderedPageBreak/>
        <w:t xml:space="preserve">PROJETO DE LEI Nº </w:t>
      </w:r>
      <w:r w:rsidR="007F62DF">
        <w:rPr>
          <w:rFonts w:ascii="Times New Roman" w:eastAsia="Times New Roman" w:hAnsi="Times New Roman" w:cs="Times New Roman"/>
          <w:b/>
          <w:bCs/>
          <w:kern w:val="0"/>
          <w:lang w:eastAsia="pt-BR"/>
        </w:rPr>
        <w:t>084</w:t>
      </w:r>
      <w:r w:rsidRPr="00842B92">
        <w:rPr>
          <w:rFonts w:ascii="Times New Roman" w:eastAsia="Times New Roman" w:hAnsi="Times New Roman" w:cs="Times New Roman"/>
          <w:b/>
          <w:bCs/>
          <w:kern w:val="0"/>
          <w:lang w:eastAsia="pt-BR"/>
        </w:rPr>
        <w:t xml:space="preserve">/2025, DE </w:t>
      </w:r>
      <w:r w:rsidR="007F62DF">
        <w:rPr>
          <w:rFonts w:ascii="Times New Roman" w:eastAsia="Times New Roman" w:hAnsi="Times New Roman" w:cs="Times New Roman"/>
          <w:b/>
          <w:bCs/>
          <w:kern w:val="0"/>
          <w:lang w:eastAsia="pt-BR"/>
        </w:rPr>
        <w:t>19</w:t>
      </w:r>
      <w:r w:rsidRPr="00842B92">
        <w:rPr>
          <w:rFonts w:ascii="Times New Roman" w:eastAsia="Times New Roman" w:hAnsi="Times New Roman" w:cs="Times New Roman"/>
          <w:b/>
          <w:bCs/>
          <w:kern w:val="0"/>
          <w:lang w:eastAsia="pt-BR"/>
        </w:rPr>
        <w:t xml:space="preserve"> DE </w:t>
      </w:r>
      <w:r w:rsidR="00842B92" w:rsidRPr="00842B92">
        <w:rPr>
          <w:rFonts w:ascii="Times New Roman" w:eastAsia="Times New Roman" w:hAnsi="Times New Roman" w:cs="Times New Roman"/>
          <w:b/>
          <w:bCs/>
          <w:kern w:val="0"/>
          <w:lang w:eastAsia="pt-BR"/>
        </w:rPr>
        <w:t>DEZEMBRO</w:t>
      </w:r>
      <w:r w:rsidRPr="00842B92">
        <w:rPr>
          <w:rFonts w:ascii="Times New Roman" w:eastAsia="Times New Roman" w:hAnsi="Times New Roman" w:cs="Times New Roman"/>
          <w:b/>
          <w:bCs/>
          <w:kern w:val="0"/>
          <w:lang w:eastAsia="pt-BR"/>
        </w:rPr>
        <w:t xml:space="preserve"> DE 2025.</w:t>
      </w:r>
    </w:p>
    <w:p w:rsidR="00A03817" w:rsidRPr="00842B92" w:rsidRDefault="00A03817" w:rsidP="005458C3">
      <w:pPr>
        <w:spacing w:after="0" w:line="240" w:lineRule="auto"/>
        <w:jc w:val="center"/>
        <w:rPr>
          <w:rFonts w:ascii="Times New Roman" w:eastAsia="Times New Roman" w:hAnsi="Times New Roman" w:cs="Times New Roman"/>
          <w:b/>
          <w:bCs/>
          <w:kern w:val="0"/>
          <w:lang w:eastAsia="pt-BR"/>
        </w:rPr>
      </w:pPr>
    </w:p>
    <w:p w:rsidR="00842B92" w:rsidRPr="00842B92" w:rsidRDefault="001D4C8F" w:rsidP="005458C3">
      <w:pPr>
        <w:spacing w:after="0" w:line="240" w:lineRule="auto"/>
        <w:ind w:left="3402"/>
        <w:jc w:val="both"/>
        <w:rPr>
          <w:rFonts w:ascii="Times New Roman" w:eastAsia="Times New Roman" w:hAnsi="Times New Roman" w:cs="Times New Roman"/>
          <w:b/>
          <w:bCs/>
          <w:kern w:val="0"/>
          <w:lang w:eastAsia="pt-BR"/>
        </w:rPr>
      </w:pPr>
      <w:r w:rsidRPr="001D4C8F">
        <w:rPr>
          <w:rFonts w:ascii="Times New Roman" w:eastAsia="Times New Roman" w:hAnsi="Times New Roman" w:cs="Times New Roman"/>
          <w:b/>
          <w:bCs/>
          <w:kern w:val="0"/>
          <w:lang w:eastAsia="pt-BR"/>
        </w:rPr>
        <w:t>Autoriza o Poder Executivo Municipal a estabelecer parcerias, firmar convênios, contratos, termos de cooperação técnica e administrativa ou instrumentos congêneres com instituições financeiras, para instalação de postos, agências e espaços de atendimento bancário no Município de Santa Margarida do Sul e dá outras providências</w:t>
      </w:r>
      <w:r w:rsidR="00925610" w:rsidRPr="00925610">
        <w:rPr>
          <w:rFonts w:ascii="Times New Roman" w:eastAsia="Times New Roman" w:hAnsi="Times New Roman" w:cs="Times New Roman"/>
          <w:b/>
          <w:bCs/>
          <w:kern w:val="0"/>
          <w:lang w:eastAsia="pt-BR"/>
        </w:rPr>
        <w:t>.</w:t>
      </w:r>
    </w:p>
    <w:p w:rsidR="004F0BAF" w:rsidRPr="00842B92"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Pr="00842B92" w:rsidRDefault="008D0958" w:rsidP="00FD14D5">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1D4C8F" w:rsidRDefault="001D4C8F" w:rsidP="001D4C8F">
      <w:pPr>
        <w:pStyle w:val="NormalWeb"/>
        <w:jc w:val="both"/>
      </w:pPr>
      <w:r>
        <w:rPr>
          <w:rStyle w:val="Forte"/>
          <w:rFonts w:eastAsiaTheme="majorEastAsia"/>
        </w:rPr>
        <w:t>Art. 1º</w:t>
      </w:r>
      <w:r>
        <w:t xml:space="preserve"> Fica o Poder Executivo Municipal autorizado a </w:t>
      </w:r>
      <w:r>
        <w:rPr>
          <w:rStyle w:val="Forte"/>
          <w:rFonts w:eastAsiaTheme="majorEastAsia"/>
        </w:rPr>
        <w:t xml:space="preserve">buscar e firmar parcerias, </w:t>
      </w:r>
      <w:r w:rsidRPr="001D4C8F">
        <w:rPr>
          <w:b/>
          <w:bCs/>
        </w:rPr>
        <w:t>convênios, contratos, termos de cooperação técnica e administrativa ou instrumentos congêneres</w:t>
      </w:r>
      <w:r>
        <w:t xml:space="preserve"> com instituições financeiras públicas e privadas, com a finalidade de </w:t>
      </w:r>
      <w:r>
        <w:rPr>
          <w:rStyle w:val="Forte"/>
          <w:rFonts w:eastAsiaTheme="majorEastAsia"/>
        </w:rPr>
        <w:t>melhorar a prestação de serviços bancários ao Município e no Município</w:t>
      </w:r>
      <w:r>
        <w:t>, especialmente para ampliar o acesso da população residente em localidades mais afastadas e dispersas no território municipal.</w:t>
      </w:r>
    </w:p>
    <w:p w:rsidR="001D4C8F" w:rsidRDefault="001D4C8F" w:rsidP="001D4C8F">
      <w:pPr>
        <w:pStyle w:val="NormalWeb"/>
        <w:jc w:val="both"/>
      </w:pPr>
      <w:r>
        <w:t xml:space="preserve">§ 1º As iniciativas de que trata o caput poderão ter por objeto, entre outras medidas de interesse público local, a </w:t>
      </w:r>
      <w:r>
        <w:rPr>
          <w:rStyle w:val="Forte"/>
          <w:rFonts w:eastAsiaTheme="majorEastAsia"/>
        </w:rPr>
        <w:t>instalação e manutenção de postos, agências e espaços de atendimento bancário</w:t>
      </w:r>
      <w:r>
        <w:t xml:space="preserve">, bem como a disponibilização de </w:t>
      </w:r>
      <w:r>
        <w:rPr>
          <w:rStyle w:val="Forte"/>
          <w:rFonts w:eastAsiaTheme="majorEastAsia"/>
        </w:rPr>
        <w:t>terminais de autoatendimento</w:t>
      </w:r>
      <w:r>
        <w:t xml:space="preserve"> e/ou outros pontos de atendimento físico compatíveis com a realidade municipal.</w:t>
      </w:r>
    </w:p>
    <w:p w:rsidR="001D4C8F" w:rsidRDefault="001D4C8F" w:rsidP="001D4C8F">
      <w:pPr>
        <w:pStyle w:val="NormalWeb"/>
        <w:jc w:val="both"/>
      </w:pPr>
      <w:r>
        <w:t xml:space="preserve">§ 2º A formalização dos instrumentos previstos neste artigo observará, em todos os casos, os </w:t>
      </w:r>
      <w:r>
        <w:rPr>
          <w:rStyle w:val="Forte"/>
          <w:rFonts w:eastAsiaTheme="majorEastAsia"/>
        </w:rPr>
        <w:t>princípios da legalidade, impessoalidade, moralidade, publicidade e eficiência</w:t>
      </w:r>
      <w:r>
        <w:t>, bem como a legislação aplicável às contratações públicas.</w:t>
      </w:r>
    </w:p>
    <w:p w:rsidR="001D4C8F" w:rsidRDefault="001D4C8F" w:rsidP="001D4C8F">
      <w:pPr>
        <w:pStyle w:val="NormalWeb"/>
        <w:jc w:val="both"/>
      </w:pPr>
      <w:r>
        <w:rPr>
          <w:rStyle w:val="Forte"/>
          <w:rFonts w:eastAsiaTheme="majorEastAsia"/>
        </w:rPr>
        <w:t>Art. 2º</w:t>
      </w:r>
      <w:r>
        <w:t xml:space="preserve"> Caso os contratos, convênios ou instrumentos congêneres firmados com as instituições referidas no art. 1º envolvam </w:t>
      </w:r>
      <w:r>
        <w:rPr>
          <w:rStyle w:val="Forte"/>
          <w:rFonts w:eastAsiaTheme="majorEastAsia"/>
        </w:rPr>
        <w:t>doações, repasses, fornecimentos, vantagens, investimentos ou aportes</w:t>
      </w:r>
      <w:r>
        <w:t xml:space="preserve">, pecuniários ou não, tais atos deverão estar </w:t>
      </w:r>
      <w:r>
        <w:rPr>
          <w:rStyle w:val="Forte"/>
          <w:rFonts w:eastAsiaTheme="majorEastAsia"/>
        </w:rPr>
        <w:t>subordinados à legislação vigente</w:t>
      </w:r>
      <w:r>
        <w:t xml:space="preserve"> reguladora da matéria e dependerão de </w:t>
      </w:r>
      <w:r>
        <w:rPr>
          <w:rStyle w:val="Forte"/>
          <w:rFonts w:eastAsiaTheme="majorEastAsia"/>
        </w:rPr>
        <w:t>formalização própria</w:t>
      </w:r>
      <w:r>
        <w:t>, com motivação do interesse público e definição de obrigações e responsabilidades.</w:t>
      </w:r>
    </w:p>
    <w:p w:rsidR="001D4C8F" w:rsidRDefault="001D4C8F" w:rsidP="001D4C8F">
      <w:pPr>
        <w:pStyle w:val="NormalWeb"/>
        <w:jc w:val="both"/>
      </w:pPr>
      <w:r>
        <w:t xml:space="preserve">Parágrafo único. O mesmo critério será adotado para hipóteses de execução de </w:t>
      </w:r>
      <w:r>
        <w:rPr>
          <w:rStyle w:val="Forte"/>
          <w:rFonts w:eastAsiaTheme="majorEastAsia"/>
        </w:rPr>
        <w:t>obras, melhorias sociais, serviços sociais</w:t>
      </w:r>
      <w:r>
        <w:t xml:space="preserve"> ou investimentos correlatos associados ao objeto desta Lei.</w:t>
      </w:r>
    </w:p>
    <w:p w:rsidR="001D4C8F" w:rsidRDefault="001D4C8F" w:rsidP="001D4C8F">
      <w:pPr>
        <w:pStyle w:val="NormalWeb"/>
        <w:jc w:val="both"/>
      </w:pPr>
      <w:r>
        <w:rPr>
          <w:rStyle w:val="Forte"/>
          <w:rFonts w:eastAsiaTheme="majorEastAsia"/>
        </w:rPr>
        <w:t>Art. 3º</w:t>
      </w:r>
      <w:r>
        <w:t xml:space="preserve"> Observado o interesse público, a vantajosidade e a regularidade do procedimento administrativo, o Município </w:t>
      </w:r>
      <w:r>
        <w:rPr>
          <w:rStyle w:val="Forte"/>
          <w:rFonts w:eastAsiaTheme="majorEastAsia"/>
        </w:rPr>
        <w:t>poderá</w:t>
      </w:r>
      <w:r>
        <w:t xml:space="preserve"> estabelecer, nos instrumentos </w:t>
      </w:r>
      <w:r>
        <w:lastRenderedPageBreak/>
        <w:t>celebrados, condições de operacionalização que favoreçam a efetiva prestação do serviço bancário local, inclusive, quando juridicamente cabível:</w:t>
      </w:r>
    </w:p>
    <w:p w:rsidR="001D4C8F" w:rsidRDefault="001D4C8F" w:rsidP="001D4C8F">
      <w:pPr>
        <w:pStyle w:val="NormalWeb"/>
        <w:jc w:val="both"/>
      </w:pPr>
      <w:r>
        <w:t xml:space="preserve">I – a manutenção, pela Administração, das </w:t>
      </w:r>
      <w:r>
        <w:rPr>
          <w:rStyle w:val="Forte"/>
          <w:rFonts w:eastAsiaTheme="majorEastAsia"/>
        </w:rPr>
        <w:t>contas-salário</w:t>
      </w:r>
      <w:r>
        <w:t xml:space="preserve"> de seus servidores/empregados, ativos e inativos, na instituição parceira, por período mínimo de </w:t>
      </w:r>
      <w:r>
        <w:rPr>
          <w:rStyle w:val="Forte"/>
          <w:rFonts w:eastAsiaTheme="majorEastAsia"/>
        </w:rPr>
        <w:t>05 (cinco) anos</w:t>
      </w:r>
      <w:r>
        <w:t>;</w:t>
      </w:r>
    </w:p>
    <w:p w:rsidR="001D4C8F" w:rsidRDefault="001D4C8F" w:rsidP="001D4C8F">
      <w:pPr>
        <w:pStyle w:val="NormalWeb"/>
        <w:jc w:val="both"/>
      </w:pPr>
      <w:r>
        <w:t xml:space="preserve">II – o processamento, pela mesma instituição, do </w:t>
      </w:r>
      <w:r>
        <w:rPr>
          <w:rStyle w:val="Forte"/>
          <w:rFonts w:eastAsiaTheme="majorEastAsia"/>
        </w:rPr>
        <w:t>pagamento de fornecedores</w:t>
      </w:r>
      <w:r>
        <w:t xml:space="preserve"> de bens, serviços e insumos do Município;</w:t>
      </w:r>
    </w:p>
    <w:p w:rsidR="001D4C8F" w:rsidRDefault="001D4C8F" w:rsidP="001D4C8F">
      <w:pPr>
        <w:pStyle w:val="NormalWeb"/>
        <w:jc w:val="both"/>
      </w:pPr>
      <w:r>
        <w:t xml:space="preserve">III – a operacionalização de </w:t>
      </w:r>
      <w:r>
        <w:rPr>
          <w:rStyle w:val="Forte"/>
          <w:rFonts w:eastAsiaTheme="majorEastAsia"/>
        </w:rPr>
        <w:t>serviços de arrecadação</w:t>
      </w:r>
      <w:r>
        <w:t xml:space="preserve"> municipal e demais rotinas financeiras compatíveis com as atividades administrativas.</w:t>
      </w:r>
    </w:p>
    <w:p w:rsidR="001D4C8F" w:rsidRDefault="001D4C8F" w:rsidP="001D4C8F">
      <w:pPr>
        <w:pStyle w:val="NormalWeb"/>
        <w:jc w:val="both"/>
      </w:pPr>
      <w:r>
        <w:t xml:space="preserve">§1º As previsões deste artigo não dispensam a observância de normas de </w:t>
      </w:r>
      <w:r>
        <w:rPr>
          <w:rStyle w:val="Forte"/>
          <w:rFonts w:eastAsiaTheme="majorEastAsia"/>
        </w:rPr>
        <w:t>governança, integridade, controle interno</w:t>
      </w:r>
      <w:r>
        <w:t>, bem como da legislação de licitações e contratos, quando aplicável, vedada qualquer forma de direcionamento incompatível com relação a estas.</w:t>
      </w:r>
    </w:p>
    <w:p w:rsidR="001D4C8F" w:rsidRDefault="001D4C8F" w:rsidP="001D4C8F">
      <w:pPr>
        <w:pStyle w:val="NormalWeb"/>
        <w:jc w:val="both"/>
      </w:pPr>
      <w:r>
        <w:t>§2º As condições previstas neste artigo deverão constar de análise técnica e jurídica no processo administrativo, demonstrando adequação, necessidade e proporcionalidade, com publicidade dos atos essenciais.</w:t>
      </w:r>
    </w:p>
    <w:p w:rsidR="001D4C8F" w:rsidRDefault="001D4C8F" w:rsidP="001D4C8F">
      <w:pPr>
        <w:pStyle w:val="NormalWeb"/>
        <w:jc w:val="both"/>
      </w:pPr>
      <w:r>
        <w:rPr>
          <w:rStyle w:val="Forte"/>
          <w:rFonts w:eastAsiaTheme="majorEastAsia"/>
        </w:rPr>
        <w:t>Art. 4º</w:t>
      </w:r>
      <w:r>
        <w:t xml:space="preserve"> Para viabilizar o objeto desta Lei, fica o Poder Executivo autorizado a promover </w:t>
      </w:r>
      <w:r>
        <w:rPr>
          <w:rStyle w:val="Forte"/>
          <w:rFonts w:eastAsiaTheme="majorEastAsia"/>
        </w:rPr>
        <w:t>cessão/permissão de uso de espaço físico pertencente ao Município</w:t>
      </w:r>
      <w:r>
        <w:t xml:space="preserve">, pelo prazo necessário à implementação da parceria, observado, como parâmetro, o prazo previsto no art. 3º, para </w:t>
      </w:r>
      <w:r>
        <w:rPr>
          <w:rStyle w:val="Forte"/>
          <w:rFonts w:eastAsiaTheme="majorEastAsia"/>
        </w:rPr>
        <w:t>instalação de Postos, Agências e Espaços de Atendimento Bancário</w:t>
      </w:r>
      <w:r>
        <w:t xml:space="preserve"> e/ou terminais de autoatendimento.</w:t>
      </w:r>
    </w:p>
    <w:p w:rsidR="001D4C8F" w:rsidRDefault="001D4C8F" w:rsidP="001D4C8F">
      <w:pPr>
        <w:pStyle w:val="NormalWeb"/>
        <w:jc w:val="both"/>
      </w:pPr>
      <w:r>
        <w:t>§1º A cessão/permissão de uso será formalizada por instrumento próprio, com cláusulas de finalidade, prazo, reversibilidade, manutenção, responsabilidades, condições de segurança e hipóteses de extinção, vedada a utilização para fins estranhos ao interesse público.</w:t>
      </w:r>
    </w:p>
    <w:p w:rsidR="001D4C8F" w:rsidRDefault="001D4C8F" w:rsidP="001D4C8F">
      <w:pPr>
        <w:pStyle w:val="NormalWeb"/>
        <w:jc w:val="both"/>
        <w:rPr>
          <w:rStyle w:val="relative"/>
          <w:rFonts w:eastAsiaTheme="majorEastAsia"/>
        </w:rPr>
      </w:pPr>
      <w:r>
        <w:t xml:space="preserve">§2º A presente autorização legislativa observa a competência da Câmara Municipal para legislar sobre concessão e permissão de uso de próprios municipais, nos termos da Lei Orgânica. </w:t>
      </w:r>
    </w:p>
    <w:p w:rsidR="001D4C8F" w:rsidRDefault="001D4C8F" w:rsidP="001D4C8F">
      <w:pPr>
        <w:pStyle w:val="NormalWeb"/>
        <w:jc w:val="both"/>
      </w:pPr>
      <w:r>
        <w:rPr>
          <w:rStyle w:val="Forte"/>
          <w:rFonts w:eastAsiaTheme="majorEastAsia"/>
        </w:rPr>
        <w:t>Art. 5º</w:t>
      </w:r>
      <w:r>
        <w:t xml:space="preserve"> As parcerias e instrumentos firmados com base nesta Lei deverão considerar requisitos de </w:t>
      </w:r>
      <w:r>
        <w:rPr>
          <w:rStyle w:val="Forte"/>
          <w:rFonts w:eastAsiaTheme="majorEastAsia"/>
        </w:rPr>
        <w:t>segurança pública e patrimonial</w:t>
      </w:r>
      <w:r>
        <w:t xml:space="preserve"> inerentes ao funcionamento de pontos de atendimento financeiro, incluindo:</w:t>
      </w:r>
    </w:p>
    <w:p w:rsidR="001D4C8F" w:rsidRDefault="001D4C8F" w:rsidP="001D4C8F">
      <w:pPr>
        <w:pStyle w:val="NormalWeb"/>
        <w:jc w:val="both"/>
      </w:pPr>
      <w:r>
        <w:t>I – exigência de que a instituição financeira observe as normas específicas de segurança aplicáveis aos estabelecimentos financeiros, no que couber;</w:t>
      </w:r>
    </w:p>
    <w:p w:rsidR="001D4C8F" w:rsidRDefault="001D4C8F" w:rsidP="001D4C8F">
      <w:pPr>
        <w:pStyle w:val="NormalWeb"/>
        <w:jc w:val="both"/>
      </w:pPr>
      <w:r>
        <w:lastRenderedPageBreak/>
        <w:t>II – articulação institucional com os órgãos competentes de segurança pública, dentro das atribuições legais de cada ente;</w:t>
      </w:r>
    </w:p>
    <w:p w:rsidR="001D4C8F" w:rsidRDefault="001D4C8F" w:rsidP="001D4C8F">
      <w:pPr>
        <w:pStyle w:val="NormalWeb"/>
        <w:jc w:val="both"/>
      </w:pPr>
      <w:r>
        <w:t xml:space="preserve">III – avaliação, pelo Município, de medidas urbanísticas e de infraestrutura (iluminação, monitoramento do entorno, organização de fluxos), quando cabíveis e </w:t>
      </w:r>
      <w:r>
        <w:rPr>
          <w:rStyle w:val="Forte"/>
          <w:rFonts w:eastAsiaTheme="majorEastAsia"/>
        </w:rPr>
        <w:t>condicionadas à disponibilidade orçamentária</w:t>
      </w:r>
      <w:r>
        <w:t>.</w:t>
      </w:r>
    </w:p>
    <w:p w:rsidR="001D4C8F" w:rsidRDefault="001D4C8F" w:rsidP="001D4C8F">
      <w:pPr>
        <w:pStyle w:val="NormalWeb"/>
        <w:jc w:val="both"/>
      </w:pPr>
      <w:r>
        <w:t>Parágrafo único. Este artigo não implica assunção automática de despesas, devendo qualquer dispêndio depender de previsão orçamentária e do correspondente processo administrativo.</w:t>
      </w:r>
    </w:p>
    <w:p w:rsidR="001D4C8F" w:rsidRDefault="001D4C8F" w:rsidP="001D4C8F">
      <w:pPr>
        <w:pStyle w:val="NormalWeb"/>
        <w:jc w:val="both"/>
      </w:pPr>
      <w:r>
        <w:rPr>
          <w:rStyle w:val="Forte"/>
          <w:rFonts w:eastAsiaTheme="majorEastAsia"/>
        </w:rPr>
        <w:t>Art. 6º</w:t>
      </w:r>
      <w:r>
        <w:t xml:space="preserve"> Todos os atos e providências necessárias ao cumprimento desta Lei deverão ser adotados pelo Poder Executivo em </w:t>
      </w:r>
      <w:r>
        <w:rPr>
          <w:rStyle w:val="Forte"/>
          <w:rFonts w:eastAsiaTheme="majorEastAsia"/>
        </w:rPr>
        <w:t xml:space="preserve">observância </w:t>
      </w:r>
      <w:r w:rsidR="00F46A14">
        <w:rPr>
          <w:rStyle w:val="Forte"/>
          <w:rFonts w:eastAsiaTheme="majorEastAsia"/>
        </w:rPr>
        <w:t>a legislação pertinente</w:t>
      </w:r>
      <w:r>
        <w:t xml:space="preserve"> e aos princípios que regem a Administração Pública, com adequada motivação do relevante interesse público.</w:t>
      </w:r>
    </w:p>
    <w:p w:rsidR="00FD14D5" w:rsidRDefault="001D4C8F" w:rsidP="001D4C8F">
      <w:pPr>
        <w:pStyle w:val="NormalWeb"/>
        <w:jc w:val="both"/>
      </w:pPr>
      <w:r>
        <w:rPr>
          <w:rStyle w:val="Forte"/>
          <w:rFonts w:eastAsiaTheme="majorEastAsia"/>
        </w:rPr>
        <w:t>Art. 7º</w:t>
      </w:r>
      <w:r>
        <w:t xml:space="preserve"> Esta Lei entra em vigor na data de sua publicação.</w:t>
      </w: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BF2DE1" w:rsidRPr="00842B92" w:rsidRDefault="00BF2DE1" w:rsidP="005458C3">
      <w:pPr>
        <w:spacing w:after="0" w:line="240" w:lineRule="auto"/>
        <w:jc w:val="right"/>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 xml:space="preserve">Gabinete do Prefeito de Santa Margarida do Sul, </w:t>
      </w:r>
      <w:r w:rsidR="007F62DF">
        <w:rPr>
          <w:rFonts w:ascii="Times New Roman" w:eastAsia="Times New Roman" w:hAnsi="Times New Roman" w:cs="Times New Roman"/>
          <w:kern w:val="0"/>
          <w:lang w:eastAsia="pt-BR"/>
        </w:rPr>
        <w:t>19</w:t>
      </w:r>
      <w:r w:rsidRPr="00842B92">
        <w:rPr>
          <w:rFonts w:ascii="Times New Roman" w:eastAsia="Times New Roman" w:hAnsi="Times New Roman" w:cs="Times New Roman"/>
          <w:kern w:val="0"/>
          <w:lang w:eastAsia="pt-BR"/>
        </w:rPr>
        <w:t xml:space="preserve"> de </w:t>
      </w:r>
      <w:r w:rsidR="00842B92" w:rsidRPr="00842B92">
        <w:rPr>
          <w:rFonts w:ascii="Times New Roman" w:eastAsia="Times New Roman" w:hAnsi="Times New Roman" w:cs="Times New Roman"/>
          <w:kern w:val="0"/>
          <w:lang w:eastAsia="pt-BR"/>
        </w:rPr>
        <w:t>dezembro</w:t>
      </w:r>
      <w:r w:rsidRPr="00842B92">
        <w:rPr>
          <w:rFonts w:ascii="Times New Roman" w:eastAsia="Times New Roman" w:hAnsi="Times New Roman" w:cs="Times New Roman"/>
          <w:kern w:val="0"/>
          <w:lang w:eastAsia="pt-BR"/>
        </w:rPr>
        <w:t xml:space="preserve"> de 2025.</w:t>
      </w:r>
    </w:p>
    <w:p w:rsidR="00B9779E" w:rsidRPr="00842B92" w:rsidRDefault="00B9779E" w:rsidP="005458C3">
      <w:pPr>
        <w:spacing w:after="0" w:line="240" w:lineRule="auto"/>
        <w:jc w:val="right"/>
        <w:rPr>
          <w:rFonts w:ascii="Times New Roman" w:eastAsia="Times New Roman" w:hAnsi="Times New Roman" w:cs="Times New Roman"/>
          <w:kern w:val="0"/>
          <w:lang w:eastAsia="pt-BR"/>
        </w:rPr>
      </w:pPr>
    </w:p>
    <w:p w:rsidR="008D0958" w:rsidRPr="00842B92" w:rsidRDefault="008D0958" w:rsidP="005458C3">
      <w:pPr>
        <w:spacing w:after="0" w:line="240" w:lineRule="auto"/>
        <w:jc w:val="right"/>
        <w:rPr>
          <w:rFonts w:ascii="Times New Roman" w:eastAsia="Times New Roman" w:hAnsi="Times New Roman" w:cs="Times New Roman"/>
          <w:kern w:val="0"/>
          <w:lang w:eastAsia="pt-BR"/>
        </w:rPr>
      </w:pP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8D0958" w:rsidRPr="00842B92" w:rsidRDefault="00BF2DE1" w:rsidP="005458C3">
      <w:pPr>
        <w:spacing w:after="0" w:line="240" w:lineRule="auto"/>
        <w:jc w:val="center"/>
        <w:rPr>
          <w:rFonts w:ascii="Times New Roman" w:hAnsi="Times New Roman" w:cs="Times New Roman"/>
        </w:rPr>
      </w:pPr>
      <w:r w:rsidRPr="00842B92">
        <w:rPr>
          <w:rFonts w:ascii="Times New Roman" w:eastAsia="Times New Roman" w:hAnsi="Times New Roman" w:cs="Times New Roman"/>
          <w:b/>
          <w:bCs/>
          <w:kern w:val="0"/>
          <w:lang w:eastAsia="pt-BR"/>
        </w:rPr>
        <w:t>Luiz Felipe Brenner Machado</w:t>
      </w:r>
      <w:r w:rsidRPr="00842B92">
        <w:rPr>
          <w:rFonts w:ascii="Times New Roman" w:eastAsia="Times New Roman" w:hAnsi="Times New Roman" w:cs="Times New Roman"/>
          <w:kern w:val="0"/>
          <w:lang w:eastAsia="pt-BR"/>
        </w:rPr>
        <w:br/>
        <w:t>Prefeito Municipal</w:t>
      </w:r>
      <w:r w:rsidR="008D0958" w:rsidRPr="00842B92">
        <w:rPr>
          <w:rFonts w:ascii="Times New Roman" w:hAnsi="Times New Roman" w:cs="Times New Roman"/>
        </w:rPr>
        <w:br w:type="page"/>
      </w:r>
    </w:p>
    <w:p w:rsidR="00E10140" w:rsidRPr="00F46A14" w:rsidRDefault="00BF2DE1" w:rsidP="00F46A14">
      <w:pPr>
        <w:spacing w:after="0" w:line="240" w:lineRule="auto"/>
        <w:jc w:val="center"/>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b/>
          <w:bCs/>
          <w:kern w:val="0"/>
          <w:sz w:val="22"/>
          <w:szCs w:val="22"/>
          <w:lang w:eastAsia="pt-BR"/>
        </w:rPr>
        <w:lastRenderedPageBreak/>
        <w:t>EXPOSIÇÃO DE MOTIVOS</w:t>
      </w:r>
    </w:p>
    <w:p w:rsidR="00BF2DE1" w:rsidRPr="00F46A14" w:rsidRDefault="00BF2DE1" w:rsidP="00E10140">
      <w:pPr>
        <w:spacing w:after="0" w:line="240" w:lineRule="auto"/>
        <w:jc w:val="both"/>
        <w:rPr>
          <w:rFonts w:ascii="Times New Roman" w:eastAsia="Times New Roman" w:hAnsi="Times New Roman" w:cs="Times New Roman"/>
          <w:b/>
          <w:bCs/>
          <w:kern w:val="0"/>
          <w:sz w:val="22"/>
          <w:szCs w:val="22"/>
          <w:lang w:eastAsia="pt-BR"/>
        </w:rPr>
      </w:pPr>
      <w:r w:rsidRPr="00F46A14">
        <w:rPr>
          <w:rFonts w:ascii="Times New Roman" w:eastAsia="Times New Roman" w:hAnsi="Times New Roman" w:cs="Times New Roman"/>
          <w:b/>
          <w:bCs/>
          <w:kern w:val="0"/>
          <w:sz w:val="22"/>
          <w:szCs w:val="22"/>
          <w:lang w:eastAsia="pt-BR"/>
        </w:rPr>
        <w:t xml:space="preserve">Senhor Presidente, </w:t>
      </w:r>
    </w:p>
    <w:p w:rsidR="00BF2DE1" w:rsidRPr="00F46A14" w:rsidRDefault="00BF2DE1" w:rsidP="00E10140">
      <w:pPr>
        <w:spacing w:after="0" w:line="240" w:lineRule="auto"/>
        <w:jc w:val="both"/>
        <w:rPr>
          <w:rFonts w:ascii="Times New Roman" w:eastAsia="Times New Roman" w:hAnsi="Times New Roman" w:cs="Times New Roman"/>
          <w:b/>
          <w:bCs/>
          <w:kern w:val="0"/>
          <w:sz w:val="22"/>
          <w:szCs w:val="22"/>
          <w:lang w:eastAsia="pt-BR"/>
        </w:rPr>
      </w:pPr>
      <w:r w:rsidRPr="00F46A14">
        <w:rPr>
          <w:rFonts w:ascii="Times New Roman" w:eastAsia="Times New Roman" w:hAnsi="Times New Roman" w:cs="Times New Roman"/>
          <w:b/>
          <w:bCs/>
          <w:kern w:val="0"/>
          <w:sz w:val="22"/>
          <w:szCs w:val="22"/>
          <w:lang w:eastAsia="pt-BR"/>
        </w:rPr>
        <w:t>Senhores Vereadores,</w:t>
      </w:r>
    </w:p>
    <w:p w:rsidR="00E10140" w:rsidRPr="00F46A14" w:rsidRDefault="00E10140" w:rsidP="00E10140">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Submeto à apreciação dessa Egrégia Câmara Municipal o incluso Projeto de Lei que </w:t>
      </w:r>
      <w:r w:rsidRPr="00F46A14">
        <w:rPr>
          <w:rFonts w:ascii="Times New Roman" w:eastAsia="Times New Roman" w:hAnsi="Times New Roman" w:cs="Times New Roman"/>
          <w:b/>
          <w:bCs/>
          <w:kern w:val="0"/>
          <w:sz w:val="22"/>
          <w:szCs w:val="22"/>
          <w:lang w:eastAsia="pt-BR"/>
        </w:rPr>
        <w:t>autoriza o Poder Executivo Municipal a estabelecer parcerias e firmar convênios e contratos de cooperação técnica e administrativa com instituições financeiras</w:t>
      </w:r>
      <w:r w:rsidRPr="00F46A14">
        <w:rPr>
          <w:rFonts w:ascii="Times New Roman" w:eastAsia="Times New Roman" w:hAnsi="Times New Roman" w:cs="Times New Roman"/>
          <w:kern w:val="0"/>
          <w:sz w:val="22"/>
          <w:szCs w:val="22"/>
          <w:lang w:eastAsia="pt-BR"/>
        </w:rPr>
        <w:t xml:space="preserve">, bem como </w:t>
      </w:r>
      <w:r w:rsidRPr="00F46A14">
        <w:rPr>
          <w:rFonts w:ascii="Times New Roman" w:eastAsia="Times New Roman" w:hAnsi="Times New Roman" w:cs="Times New Roman"/>
          <w:b/>
          <w:bCs/>
          <w:kern w:val="0"/>
          <w:sz w:val="22"/>
          <w:szCs w:val="22"/>
          <w:lang w:eastAsia="pt-BR"/>
        </w:rPr>
        <w:t>celebrar cessão/permissão de uso de espaço físico municipal</w:t>
      </w:r>
      <w:r w:rsidRPr="00F46A14">
        <w:rPr>
          <w:rFonts w:ascii="Times New Roman" w:eastAsia="Times New Roman" w:hAnsi="Times New Roman" w:cs="Times New Roman"/>
          <w:kern w:val="0"/>
          <w:sz w:val="22"/>
          <w:szCs w:val="22"/>
          <w:lang w:eastAsia="pt-BR"/>
        </w:rPr>
        <w:t xml:space="preserve"> para </w:t>
      </w:r>
      <w:r w:rsidRPr="00F46A14">
        <w:rPr>
          <w:rFonts w:ascii="Times New Roman" w:eastAsia="Times New Roman" w:hAnsi="Times New Roman" w:cs="Times New Roman"/>
          <w:b/>
          <w:bCs/>
          <w:kern w:val="0"/>
          <w:sz w:val="22"/>
          <w:szCs w:val="22"/>
          <w:lang w:eastAsia="pt-BR"/>
        </w:rPr>
        <w:t>instalação de posto de atendimento bancário/terminais de autoatendimento</w:t>
      </w:r>
      <w:r w:rsidRPr="00F46A14">
        <w:rPr>
          <w:rFonts w:ascii="Times New Roman" w:eastAsia="Times New Roman" w:hAnsi="Times New Roman" w:cs="Times New Roman"/>
          <w:kern w:val="0"/>
          <w:sz w:val="22"/>
          <w:szCs w:val="22"/>
          <w:lang w:eastAsia="pt-BR"/>
        </w:rPr>
        <w:t xml:space="preserve">, com a finalidade de </w:t>
      </w:r>
      <w:r w:rsidRPr="00F46A14">
        <w:rPr>
          <w:rFonts w:ascii="Times New Roman" w:eastAsia="Times New Roman" w:hAnsi="Times New Roman" w:cs="Times New Roman"/>
          <w:b/>
          <w:bCs/>
          <w:kern w:val="0"/>
          <w:sz w:val="22"/>
          <w:szCs w:val="22"/>
          <w:lang w:eastAsia="pt-BR"/>
        </w:rPr>
        <w:t>melhorar a prestação de serviços bancários no Município</w:t>
      </w:r>
      <w:r w:rsidRPr="00F46A14">
        <w:rPr>
          <w:rFonts w:ascii="Times New Roman" w:eastAsia="Times New Roman" w:hAnsi="Times New Roman" w:cs="Times New Roman"/>
          <w:kern w:val="0"/>
          <w:sz w:val="22"/>
          <w:szCs w:val="22"/>
          <w:lang w:eastAsia="pt-BR"/>
        </w:rPr>
        <w:t xml:space="preserve"> e </w:t>
      </w:r>
      <w:r w:rsidRPr="00F46A14">
        <w:rPr>
          <w:rFonts w:ascii="Times New Roman" w:eastAsia="Times New Roman" w:hAnsi="Times New Roman" w:cs="Times New Roman"/>
          <w:b/>
          <w:bCs/>
          <w:kern w:val="0"/>
          <w:sz w:val="22"/>
          <w:szCs w:val="22"/>
          <w:lang w:eastAsia="pt-BR"/>
        </w:rPr>
        <w:t>promover maior segurança pública e financeira aos munícipes</w:t>
      </w:r>
      <w:r w:rsidRPr="00F46A14">
        <w:rPr>
          <w:rFonts w:ascii="Times New Roman" w:eastAsia="Times New Roman" w:hAnsi="Times New Roman" w:cs="Times New Roman"/>
          <w:kern w:val="0"/>
          <w:sz w:val="22"/>
          <w:szCs w:val="22"/>
          <w:lang w:eastAsia="pt-BR"/>
        </w:rPr>
        <w:t>, observados os princípios e normas aplicáveis à Administração Pública.</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O Município de Santa Margarida do Sul possui </w:t>
      </w:r>
      <w:r w:rsidRPr="00F46A14">
        <w:rPr>
          <w:rFonts w:ascii="Times New Roman" w:eastAsia="Times New Roman" w:hAnsi="Times New Roman" w:cs="Times New Roman"/>
          <w:b/>
          <w:bCs/>
          <w:kern w:val="0"/>
          <w:sz w:val="22"/>
          <w:szCs w:val="22"/>
          <w:lang w:eastAsia="pt-BR"/>
        </w:rPr>
        <w:t>baixíssima densidade demográfica</w:t>
      </w:r>
      <w:r w:rsidRPr="00F46A14">
        <w:rPr>
          <w:rFonts w:ascii="Times New Roman" w:eastAsia="Times New Roman" w:hAnsi="Times New Roman" w:cs="Times New Roman"/>
          <w:kern w:val="0"/>
          <w:sz w:val="22"/>
          <w:szCs w:val="22"/>
          <w:lang w:eastAsia="pt-BR"/>
        </w:rPr>
        <w:t xml:space="preserve"> e </w:t>
      </w:r>
      <w:r w:rsidRPr="00F46A14">
        <w:rPr>
          <w:rFonts w:ascii="Times New Roman" w:eastAsia="Times New Roman" w:hAnsi="Times New Roman" w:cs="Times New Roman"/>
          <w:b/>
          <w:bCs/>
          <w:kern w:val="0"/>
          <w:sz w:val="22"/>
          <w:szCs w:val="22"/>
          <w:lang w:eastAsia="pt-BR"/>
        </w:rPr>
        <w:t>grande extensão territorial</w:t>
      </w:r>
      <w:r w:rsidRPr="00F46A14">
        <w:rPr>
          <w:rFonts w:ascii="Times New Roman" w:eastAsia="Times New Roman" w:hAnsi="Times New Roman" w:cs="Times New Roman"/>
          <w:kern w:val="0"/>
          <w:sz w:val="22"/>
          <w:szCs w:val="22"/>
          <w:lang w:eastAsia="pt-BR"/>
        </w:rPr>
        <w:t xml:space="preserve">, circunstâncias que impactam diretamente a logística de acesso a serviços essenciais e aumentam o custo social de deslocamentos para atendimento presencial em municípios vizinhos. Conforme o IBGE, o Município tem </w:t>
      </w:r>
      <w:r w:rsidRPr="00F46A14">
        <w:rPr>
          <w:rFonts w:ascii="Times New Roman" w:eastAsia="Times New Roman" w:hAnsi="Times New Roman" w:cs="Times New Roman"/>
          <w:b/>
          <w:bCs/>
          <w:kern w:val="0"/>
          <w:sz w:val="22"/>
          <w:szCs w:val="22"/>
          <w:lang w:eastAsia="pt-BR"/>
        </w:rPr>
        <w:t>área territorial de 955,299 km² (2024)</w:t>
      </w:r>
      <w:r w:rsidRPr="00F46A14">
        <w:rPr>
          <w:rFonts w:ascii="Times New Roman" w:eastAsia="Times New Roman" w:hAnsi="Times New Roman" w:cs="Times New Roman"/>
          <w:kern w:val="0"/>
          <w:sz w:val="22"/>
          <w:szCs w:val="22"/>
          <w:lang w:eastAsia="pt-BR"/>
        </w:rPr>
        <w:t xml:space="preserve">, </w:t>
      </w:r>
      <w:r w:rsidRPr="00F46A14">
        <w:rPr>
          <w:rFonts w:ascii="Times New Roman" w:eastAsia="Times New Roman" w:hAnsi="Times New Roman" w:cs="Times New Roman"/>
          <w:b/>
          <w:bCs/>
          <w:kern w:val="0"/>
          <w:sz w:val="22"/>
          <w:szCs w:val="22"/>
          <w:lang w:eastAsia="pt-BR"/>
        </w:rPr>
        <w:t>população no último censo de 2.596 pessoas (2022)</w:t>
      </w:r>
      <w:r w:rsidRPr="00F46A14">
        <w:rPr>
          <w:rFonts w:ascii="Times New Roman" w:eastAsia="Times New Roman" w:hAnsi="Times New Roman" w:cs="Times New Roman"/>
          <w:kern w:val="0"/>
          <w:sz w:val="22"/>
          <w:szCs w:val="22"/>
          <w:lang w:eastAsia="pt-BR"/>
        </w:rPr>
        <w:t xml:space="preserve">, </w:t>
      </w:r>
      <w:r w:rsidRPr="00F46A14">
        <w:rPr>
          <w:rFonts w:ascii="Times New Roman" w:eastAsia="Times New Roman" w:hAnsi="Times New Roman" w:cs="Times New Roman"/>
          <w:b/>
          <w:bCs/>
          <w:kern w:val="0"/>
          <w:sz w:val="22"/>
          <w:szCs w:val="22"/>
          <w:lang w:eastAsia="pt-BR"/>
        </w:rPr>
        <w:t>densidade demográfica de 2,72 hab/km² (2022)</w:t>
      </w:r>
      <w:r w:rsidRPr="00F46A14">
        <w:rPr>
          <w:rFonts w:ascii="Times New Roman" w:eastAsia="Times New Roman" w:hAnsi="Times New Roman" w:cs="Times New Roman"/>
          <w:kern w:val="0"/>
          <w:sz w:val="22"/>
          <w:szCs w:val="22"/>
          <w:lang w:eastAsia="pt-BR"/>
        </w:rPr>
        <w:t xml:space="preserve"> e </w:t>
      </w:r>
      <w:r w:rsidRPr="00F46A14">
        <w:rPr>
          <w:rFonts w:ascii="Times New Roman" w:eastAsia="Times New Roman" w:hAnsi="Times New Roman" w:cs="Times New Roman"/>
          <w:b/>
          <w:bCs/>
          <w:kern w:val="0"/>
          <w:sz w:val="22"/>
          <w:szCs w:val="22"/>
          <w:lang w:eastAsia="pt-BR"/>
        </w:rPr>
        <w:t>população estimada de 2.661 pessoas (2025)</w:t>
      </w:r>
      <w:r w:rsidRPr="00F46A14">
        <w:rPr>
          <w:rFonts w:ascii="Times New Roman" w:eastAsia="Times New Roman" w:hAnsi="Times New Roman" w:cs="Times New Roman"/>
          <w:kern w:val="0"/>
          <w:sz w:val="22"/>
          <w:szCs w:val="22"/>
          <w:lang w:eastAsia="pt-BR"/>
        </w:rPr>
        <w:t xml:space="preserve">. </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Sob o recorte territorial e socioespacial, trata-se de Município com </w:t>
      </w:r>
      <w:r w:rsidRPr="00F46A14">
        <w:rPr>
          <w:rFonts w:ascii="Times New Roman" w:eastAsia="Times New Roman" w:hAnsi="Times New Roman" w:cs="Times New Roman"/>
          <w:b/>
          <w:bCs/>
          <w:kern w:val="0"/>
          <w:sz w:val="22"/>
          <w:szCs w:val="22"/>
          <w:lang w:eastAsia="pt-BR"/>
        </w:rPr>
        <w:t>predominância histórica de população residente em área rural</w:t>
      </w:r>
      <w:r w:rsidRPr="00F46A14">
        <w:rPr>
          <w:rFonts w:ascii="Times New Roman" w:eastAsia="Times New Roman" w:hAnsi="Times New Roman" w:cs="Times New Roman"/>
          <w:kern w:val="0"/>
          <w:sz w:val="22"/>
          <w:szCs w:val="22"/>
          <w:lang w:eastAsia="pt-BR"/>
        </w:rPr>
        <w:t xml:space="preserve">, o que reforça a necessidade de políticas públicas que reduzam barreiras de acesso a serviços. No Censo 2010, por exemplo, constou população </w:t>
      </w:r>
      <w:r w:rsidRPr="00F46A14">
        <w:rPr>
          <w:rFonts w:ascii="Times New Roman" w:eastAsia="Times New Roman" w:hAnsi="Times New Roman" w:cs="Times New Roman"/>
          <w:b/>
          <w:bCs/>
          <w:kern w:val="0"/>
          <w:sz w:val="22"/>
          <w:szCs w:val="22"/>
          <w:lang w:eastAsia="pt-BR"/>
        </w:rPr>
        <w:t>rural de 1.800 pessoas (76%)</w:t>
      </w:r>
      <w:r w:rsidRPr="00F46A14">
        <w:rPr>
          <w:rFonts w:ascii="Times New Roman" w:eastAsia="Times New Roman" w:hAnsi="Times New Roman" w:cs="Times New Roman"/>
          <w:kern w:val="0"/>
          <w:sz w:val="22"/>
          <w:szCs w:val="22"/>
          <w:lang w:eastAsia="pt-BR"/>
        </w:rPr>
        <w:t xml:space="preserve"> e </w:t>
      </w:r>
      <w:r w:rsidRPr="00F46A14">
        <w:rPr>
          <w:rFonts w:ascii="Times New Roman" w:eastAsia="Times New Roman" w:hAnsi="Times New Roman" w:cs="Times New Roman"/>
          <w:b/>
          <w:bCs/>
          <w:kern w:val="0"/>
          <w:sz w:val="22"/>
          <w:szCs w:val="22"/>
          <w:lang w:eastAsia="pt-BR"/>
        </w:rPr>
        <w:t>urbana de 552 pessoas (23%)</w:t>
      </w:r>
      <w:r w:rsidRPr="00F46A14">
        <w:rPr>
          <w:rFonts w:ascii="Times New Roman" w:eastAsia="Times New Roman" w:hAnsi="Times New Roman" w:cs="Times New Roman"/>
          <w:kern w:val="0"/>
          <w:sz w:val="22"/>
          <w:szCs w:val="22"/>
          <w:lang w:eastAsia="pt-BR"/>
        </w:rPr>
        <w:t xml:space="preserve">, evidenciando perfil rural e disperso. </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Nesse contexto, a medida legislativa proposta é </w:t>
      </w:r>
      <w:r w:rsidRPr="00F46A14">
        <w:rPr>
          <w:rFonts w:ascii="Times New Roman" w:eastAsia="Times New Roman" w:hAnsi="Times New Roman" w:cs="Times New Roman"/>
          <w:b/>
          <w:bCs/>
          <w:kern w:val="0"/>
          <w:sz w:val="22"/>
          <w:szCs w:val="22"/>
          <w:lang w:eastAsia="pt-BR"/>
        </w:rPr>
        <w:t>instrumental</w:t>
      </w:r>
      <w:r w:rsidRPr="00F46A14">
        <w:rPr>
          <w:rFonts w:ascii="Times New Roman" w:eastAsia="Times New Roman" w:hAnsi="Times New Roman" w:cs="Times New Roman"/>
          <w:kern w:val="0"/>
          <w:sz w:val="22"/>
          <w:szCs w:val="22"/>
          <w:lang w:eastAsia="pt-BR"/>
        </w:rPr>
        <w:t xml:space="preserve">: não regula atividade bancária (matéria de competência federal), mas </w:t>
      </w:r>
      <w:r w:rsidRPr="00F46A14">
        <w:rPr>
          <w:rFonts w:ascii="Times New Roman" w:eastAsia="Times New Roman" w:hAnsi="Times New Roman" w:cs="Times New Roman"/>
          <w:b/>
          <w:bCs/>
          <w:kern w:val="0"/>
          <w:sz w:val="22"/>
          <w:szCs w:val="22"/>
          <w:lang w:eastAsia="pt-BR"/>
        </w:rPr>
        <w:t>autoriza juridicamente</w:t>
      </w:r>
      <w:r w:rsidRPr="00F46A14">
        <w:rPr>
          <w:rFonts w:ascii="Times New Roman" w:eastAsia="Times New Roman" w:hAnsi="Times New Roman" w:cs="Times New Roman"/>
          <w:kern w:val="0"/>
          <w:sz w:val="22"/>
          <w:szCs w:val="22"/>
          <w:lang w:eastAsia="pt-BR"/>
        </w:rPr>
        <w:t xml:space="preserve"> o Município a viabilizar, por meios administrativos regulares e impessoais, </w:t>
      </w:r>
      <w:r w:rsidRPr="00F46A14">
        <w:rPr>
          <w:rFonts w:ascii="Times New Roman" w:eastAsia="Times New Roman" w:hAnsi="Times New Roman" w:cs="Times New Roman"/>
          <w:b/>
          <w:bCs/>
          <w:kern w:val="0"/>
          <w:sz w:val="22"/>
          <w:szCs w:val="22"/>
          <w:lang w:eastAsia="pt-BR"/>
        </w:rPr>
        <w:t>arranjos cooperativos</w:t>
      </w:r>
      <w:r w:rsidRPr="00F46A14">
        <w:rPr>
          <w:rFonts w:ascii="Times New Roman" w:eastAsia="Times New Roman" w:hAnsi="Times New Roman" w:cs="Times New Roman"/>
          <w:kern w:val="0"/>
          <w:sz w:val="22"/>
          <w:szCs w:val="22"/>
          <w:lang w:eastAsia="pt-BR"/>
        </w:rPr>
        <w:t xml:space="preserve"> que ampliem a oferta local de serviços financeiros, fomentem inclusão financeira e reduzam deslocamentos, especialmente da população residente em localidades mais afastadas.</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O Projeto também enfrenta, de forma objetiva, o fator “segurança” como elemento de viabilidade: registra-se histórico local de preocupação com a segurança de estruturas de autoatendimento e, atualmente, há tratativas e iniciativas administrativas voltadas ao fortalecimento do policiamento ostensivo e da infraestrutura de segurança pública local, de modo a criar ambiente mais favorável à instalação e manutenção de pontos de atendimento. Assim, o texto propõe que as parcerias considerem </w:t>
      </w:r>
      <w:r w:rsidRPr="00F46A14">
        <w:rPr>
          <w:rFonts w:ascii="Times New Roman" w:eastAsia="Times New Roman" w:hAnsi="Times New Roman" w:cs="Times New Roman"/>
          <w:b/>
          <w:bCs/>
          <w:kern w:val="0"/>
          <w:sz w:val="22"/>
          <w:szCs w:val="22"/>
          <w:lang w:eastAsia="pt-BR"/>
        </w:rPr>
        <w:t>requisitos de segurança</w:t>
      </w:r>
      <w:r w:rsidRPr="00F46A14">
        <w:rPr>
          <w:rFonts w:ascii="Times New Roman" w:eastAsia="Times New Roman" w:hAnsi="Times New Roman" w:cs="Times New Roman"/>
          <w:kern w:val="0"/>
          <w:sz w:val="22"/>
          <w:szCs w:val="22"/>
          <w:lang w:eastAsia="pt-BR"/>
        </w:rPr>
        <w:t>, com articulação institucional com os órgãos competentes e observância das normas específicas aplicáveis aos estabelecimentos financeiros, sem gerar obrigações automáticas de despesa sem a correspondente previsão orçamentária.</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 xml:space="preserve">Por fim, o Projeto incorpora salvaguardas essenciais: </w:t>
      </w:r>
      <w:r w:rsidRPr="00F46A14">
        <w:rPr>
          <w:rFonts w:ascii="Times New Roman" w:eastAsia="Times New Roman" w:hAnsi="Times New Roman" w:cs="Times New Roman"/>
          <w:b/>
          <w:bCs/>
          <w:kern w:val="0"/>
          <w:sz w:val="22"/>
          <w:szCs w:val="22"/>
          <w:lang w:eastAsia="pt-BR"/>
        </w:rPr>
        <w:t>observância à transparência</w:t>
      </w:r>
      <w:r w:rsidRPr="00F46A14">
        <w:rPr>
          <w:rFonts w:ascii="Times New Roman" w:eastAsia="Times New Roman" w:hAnsi="Times New Roman" w:cs="Times New Roman"/>
          <w:kern w:val="0"/>
          <w:sz w:val="22"/>
          <w:szCs w:val="22"/>
          <w:lang w:eastAsia="pt-BR"/>
        </w:rPr>
        <w:t xml:space="preserve">, aos </w:t>
      </w:r>
      <w:r w:rsidRPr="00F46A14">
        <w:rPr>
          <w:rFonts w:ascii="Times New Roman" w:eastAsia="Times New Roman" w:hAnsi="Times New Roman" w:cs="Times New Roman"/>
          <w:b/>
          <w:bCs/>
          <w:kern w:val="0"/>
          <w:sz w:val="22"/>
          <w:szCs w:val="22"/>
          <w:lang w:eastAsia="pt-BR"/>
        </w:rPr>
        <w:t>princípios do art. 37 da Constituição Federal</w:t>
      </w:r>
      <w:r w:rsidRPr="00F46A14">
        <w:rPr>
          <w:rFonts w:ascii="Times New Roman" w:eastAsia="Times New Roman" w:hAnsi="Times New Roman" w:cs="Times New Roman"/>
          <w:kern w:val="0"/>
          <w:sz w:val="22"/>
          <w:szCs w:val="22"/>
          <w:lang w:eastAsia="pt-BR"/>
        </w:rPr>
        <w:t xml:space="preserve">, à </w:t>
      </w:r>
      <w:r w:rsidRPr="00F46A14">
        <w:rPr>
          <w:rFonts w:ascii="Times New Roman" w:eastAsia="Times New Roman" w:hAnsi="Times New Roman" w:cs="Times New Roman"/>
          <w:b/>
          <w:bCs/>
          <w:kern w:val="0"/>
          <w:sz w:val="22"/>
          <w:szCs w:val="22"/>
          <w:lang w:eastAsia="pt-BR"/>
        </w:rPr>
        <w:t>legislação de licitações e contratos administrativos (Lei nº 14.133/2021)</w:t>
      </w:r>
      <w:r w:rsidRPr="00F46A14">
        <w:rPr>
          <w:rFonts w:ascii="Times New Roman" w:eastAsia="Times New Roman" w:hAnsi="Times New Roman" w:cs="Times New Roman"/>
          <w:kern w:val="0"/>
          <w:sz w:val="22"/>
          <w:szCs w:val="22"/>
          <w:lang w:eastAsia="pt-BR"/>
        </w:rPr>
        <w:t xml:space="preserve">, bem como às competências municipais de </w:t>
      </w:r>
      <w:r w:rsidRPr="00F46A14">
        <w:rPr>
          <w:rFonts w:ascii="Times New Roman" w:eastAsia="Times New Roman" w:hAnsi="Times New Roman" w:cs="Times New Roman"/>
          <w:b/>
          <w:bCs/>
          <w:kern w:val="0"/>
          <w:sz w:val="22"/>
          <w:szCs w:val="22"/>
          <w:lang w:eastAsia="pt-BR"/>
        </w:rPr>
        <w:t>administrar bens, aceitar doações e formalizar contratações</w:t>
      </w:r>
      <w:r w:rsidRPr="00F46A14">
        <w:rPr>
          <w:rFonts w:ascii="Times New Roman" w:eastAsia="Times New Roman" w:hAnsi="Times New Roman" w:cs="Times New Roman"/>
          <w:kern w:val="0"/>
          <w:sz w:val="22"/>
          <w:szCs w:val="22"/>
          <w:lang w:eastAsia="pt-BR"/>
        </w:rPr>
        <w:t xml:space="preserve">, previstas na Lei Orgânica Municipal. </w:t>
      </w: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p>
    <w:p w:rsidR="00F46A14" w:rsidRPr="00F46A14" w:rsidRDefault="00F46A14" w:rsidP="00F46A14">
      <w:pPr>
        <w:spacing w:after="0" w:line="240" w:lineRule="auto"/>
        <w:jc w:val="both"/>
        <w:rPr>
          <w:rFonts w:ascii="Times New Roman" w:eastAsia="Times New Roman" w:hAnsi="Times New Roman" w:cs="Times New Roman"/>
          <w:kern w:val="0"/>
          <w:sz w:val="22"/>
          <w:szCs w:val="22"/>
          <w:lang w:eastAsia="pt-BR"/>
        </w:rPr>
      </w:pPr>
      <w:r w:rsidRPr="00F46A14">
        <w:rPr>
          <w:rFonts w:ascii="Times New Roman" w:eastAsia="Times New Roman" w:hAnsi="Times New Roman" w:cs="Times New Roman"/>
          <w:kern w:val="0"/>
          <w:sz w:val="22"/>
          <w:szCs w:val="22"/>
          <w:lang w:eastAsia="pt-BR"/>
        </w:rPr>
        <w:t>Diante do relevante interesse público, encaminho o presente Projeto para apreciação e deliberação.</w:t>
      </w:r>
    </w:p>
    <w:p w:rsidR="00FD14D5" w:rsidRPr="00F46A14" w:rsidRDefault="00FD14D5" w:rsidP="00E10140">
      <w:pPr>
        <w:spacing w:after="0" w:line="240" w:lineRule="auto"/>
        <w:jc w:val="both"/>
        <w:rPr>
          <w:rFonts w:ascii="Times New Roman" w:eastAsia="Times New Roman" w:hAnsi="Times New Roman" w:cs="Times New Roman"/>
          <w:b/>
          <w:bCs/>
          <w:kern w:val="0"/>
          <w:sz w:val="22"/>
          <w:szCs w:val="22"/>
          <w:lang w:eastAsia="pt-BR"/>
        </w:rPr>
      </w:pPr>
    </w:p>
    <w:p w:rsidR="00BF2DE1" w:rsidRPr="00F46A14" w:rsidRDefault="00BF2DE1" w:rsidP="00E10140">
      <w:pPr>
        <w:spacing w:after="0" w:line="240" w:lineRule="auto"/>
        <w:jc w:val="both"/>
        <w:rPr>
          <w:rFonts w:ascii="Times New Roman" w:eastAsia="Times New Roman" w:hAnsi="Times New Roman" w:cs="Times New Roman"/>
          <w:b/>
          <w:bCs/>
          <w:kern w:val="0"/>
          <w:sz w:val="22"/>
          <w:szCs w:val="22"/>
          <w:lang w:eastAsia="pt-BR"/>
        </w:rPr>
      </w:pPr>
      <w:r w:rsidRPr="00F46A14">
        <w:rPr>
          <w:rFonts w:ascii="Times New Roman" w:eastAsia="Times New Roman" w:hAnsi="Times New Roman" w:cs="Times New Roman"/>
          <w:b/>
          <w:bCs/>
          <w:kern w:val="0"/>
          <w:sz w:val="22"/>
          <w:szCs w:val="22"/>
          <w:lang w:eastAsia="pt-BR"/>
        </w:rPr>
        <w:t>Atenciosamente,</w:t>
      </w:r>
    </w:p>
    <w:p w:rsidR="00F21CE1" w:rsidRPr="00F46A14" w:rsidRDefault="00BF2DE1" w:rsidP="00E10140">
      <w:pPr>
        <w:spacing w:after="0" w:line="240" w:lineRule="auto"/>
        <w:jc w:val="center"/>
        <w:rPr>
          <w:rFonts w:ascii="Times New Roman" w:hAnsi="Times New Roman" w:cs="Times New Roman"/>
          <w:sz w:val="22"/>
          <w:szCs w:val="22"/>
        </w:rPr>
      </w:pPr>
      <w:r w:rsidRPr="00F46A14">
        <w:rPr>
          <w:rFonts w:ascii="Times New Roman" w:eastAsia="Times New Roman" w:hAnsi="Times New Roman" w:cs="Times New Roman"/>
          <w:b/>
          <w:bCs/>
          <w:kern w:val="0"/>
          <w:sz w:val="22"/>
          <w:szCs w:val="22"/>
          <w:lang w:eastAsia="pt-BR"/>
        </w:rPr>
        <w:lastRenderedPageBreak/>
        <w:t>Luiz Felipe Brenner Machado</w:t>
      </w:r>
      <w:r w:rsidRPr="00F46A14">
        <w:rPr>
          <w:rFonts w:ascii="Times New Roman" w:eastAsia="Times New Roman" w:hAnsi="Times New Roman" w:cs="Times New Roman"/>
          <w:kern w:val="0"/>
          <w:sz w:val="22"/>
          <w:szCs w:val="22"/>
          <w:lang w:eastAsia="pt-BR"/>
        </w:rPr>
        <w:br/>
        <w:t>Prefeito Municipal</w:t>
      </w:r>
    </w:p>
    <w:sectPr w:rsidR="00F21CE1" w:rsidRPr="00F46A14" w:rsidSect="00F46A14">
      <w:headerReference w:type="default" r:id="rId8"/>
      <w:footerReference w:type="default" r:id="rId9"/>
      <w:pgSz w:w="11906" w:h="16838"/>
      <w:pgMar w:top="3119" w:right="1701"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19C" w:rsidRDefault="00FA719C" w:rsidP="00F21CE1">
      <w:pPr>
        <w:spacing w:after="0" w:line="240" w:lineRule="auto"/>
      </w:pPr>
      <w:r>
        <w:separator/>
      </w:r>
    </w:p>
  </w:endnote>
  <w:endnote w:type="continuationSeparator" w:id="1">
    <w:p w:rsidR="00FA719C" w:rsidRDefault="00FA719C"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10332B">
        <w:pPr>
          <w:pStyle w:val="Rodap"/>
          <w:jc w:val="right"/>
        </w:pPr>
        <w:r>
          <w:fldChar w:fldCharType="begin"/>
        </w:r>
        <w:r w:rsidR="00F21CE1">
          <w:instrText>PAGE   \* MERGEFORMAT</w:instrText>
        </w:r>
        <w:r>
          <w:fldChar w:fldCharType="separate"/>
        </w:r>
        <w:r w:rsidR="00AD4C26">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19C" w:rsidRDefault="00FA719C" w:rsidP="00F21CE1">
      <w:pPr>
        <w:spacing w:after="0" w:line="240" w:lineRule="auto"/>
      </w:pPr>
      <w:r>
        <w:separator/>
      </w:r>
    </w:p>
  </w:footnote>
  <w:footnote w:type="continuationSeparator" w:id="1">
    <w:p w:rsidR="00FA719C" w:rsidRDefault="00FA719C"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512710531" name="Imagem 512710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14C3E"/>
    <w:rsid w:val="00020C5C"/>
    <w:rsid w:val="000306E1"/>
    <w:rsid w:val="00052657"/>
    <w:rsid w:val="0007379C"/>
    <w:rsid w:val="00075EF3"/>
    <w:rsid w:val="000B21EE"/>
    <w:rsid w:val="000C4365"/>
    <w:rsid w:val="0010332B"/>
    <w:rsid w:val="00152D69"/>
    <w:rsid w:val="001D4C8F"/>
    <w:rsid w:val="002408AC"/>
    <w:rsid w:val="00301E24"/>
    <w:rsid w:val="00392029"/>
    <w:rsid w:val="003B40C0"/>
    <w:rsid w:val="0043528F"/>
    <w:rsid w:val="004438D1"/>
    <w:rsid w:val="00490506"/>
    <w:rsid w:val="004A154B"/>
    <w:rsid w:val="004F0BAF"/>
    <w:rsid w:val="0052053E"/>
    <w:rsid w:val="005246DE"/>
    <w:rsid w:val="005458C3"/>
    <w:rsid w:val="005B0981"/>
    <w:rsid w:val="00617FF3"/>
    <w:rsid w:val="006E6980"/>
    <w:rsid w:val="00712C55"/>
    <w:rsid w:val="00746687"/>
    <w:rsid w:val="007C3CDC"/>
    <w:rsid w:val="007C794A"/>
    <w:rsid w:val="007F62DF"/>
    <w:rsid w:val="00816BD9"/>
    <w:rsid w:val="00816DBA"/>
    <w:rsid w:val="00842B92"/>
    <w:rsid w:val="00850BC8"/>
    <w:rsid w:val="00853EBF"/>
    <w:rsid w:val="008C18DC"/>
    <w:rsid w:val="008D0958"/>
    <w:rsid w:val="008F47CA"/>
    <w:rsid w:val="00925610"/>
    <w:rsid w:val="00987B05"/>
    <w:rsid w:val="009D0FE5"/>
    <w:rsid w:val="009E183A"/>
    <w:rsid w:val="00A02BDF"/>
    <w:rsid w:val="00A03817"/>
    <w:rsid w:val="00A616F8"/>
    <w:rsid w:val="00A769F0"/>
    <w:rsid w:val="00AC5634"/>
    <w:rsid w:val="00AD4C26"/>
    <w:rsid w:val="00B36AAC"/>
    <w:rsid w:val="00B9779E"/>
    <w:rsid w:val="00BF2DE1"/>
    <w:rsid w:val="00C10BDF"/>
    <w:rsid w:val="00C56B16"/>
    <w:rsid w:val="00C75673"/>
    <w:rsid w:val="00CA30A5"/>
    <w:rsid w:val="00CE00E2"/>
    <w:rsid w:val="00CF1311"/>
    <w:rsid w:val="00D25FD1"/>
    <w:rsid w:val="00D26116"/>
    <w:rsid w:val="00D57F80"/>
    <w:rsid w:val="00D95AEB"/>
    <w:rsid w:val="00DA136D"/>
    <w:rsid w:val="00E10140"/>
    <w:rsid w:val="00E339BD"/>
    <w:rsid w:val="00EA7E8F"/>
    <w:rsid w:val="00EC314F"/>
    <w:rsid w:val="00EC3359"/>
    <w:rsid w:val="00F21CE1"/>
    <w:rsid w:val="00F36CC5"/>
    <w:rsid w:val="00F43A19"/>
    <w:rsid w:val="00F4622D"/>
    <w:rsid w:val="00F46A14"/>
    <w:rsid w:val="00F73128"/>
    <w:rsid w:val="00FA55CD"/>
    <w:rsid w:val="00FA719C"/>
    <w:rsid w:val="00FB4AE3"/>
    <w:rsid w:val="00FD14D5"/>
    <w:rsid w:val="00FD4BF0"/>
    <w:rsid w:val="00FE35F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925610"/>
  </w:style>
  <w:style w:type="paragraph" w:customStyle="1" w:styleId="not-prose">
    <w:name w:val="not-prose"/>
    <w:basedOn w:val="Normal"/>
    <w:rsid w:val="00925610"/>
    <w:pPr>
      <w:spacing w:before="100" w:beforeAutospacing="1" w:after="100" w:afterAutospacing="1" w:line="240" w:lineRule="auto"/>
    </w:pPr>
    <w:rPr>
      <w:rFonts w:ascii="Times New Roman" w:eastAsia="Times New Roman" w:hAnsi="Times New Roman" w:cs="Times New Roman"/>
      <w:kern w:val="0"/>
      <w:lang w:eastAsia="pt-BR"/>
    </w:rPr>
  </w:style>
  <w:style w:type="character" w:styleId="Hyperlink">
    <w:name w:val="Hyperlink"/>
    <w:basedOn w:val="Fontepargpadro"/>
    <w:uiPriority w:val="99"/>
    <w:unhideWhenUsed/>
    <w:rsid w:val="00F46A14"/>
    <w:rPr>
      <w:color w:val="467886" w:themeColor="hyperlink"/>
      <w:u w:val="single"/>
    </w:rPr>
  </w:style>
  <w:style w:type="character" w:customStyle="1" w:styleId="UnresolvedMention">
    <w:name w:val="Unresolved Mention"/>
    <w:basedOn w:val="Fontepargpadro"/>
    <w:uiPriority w:val="99"/>
    <w:semiHidden/>
    <w:unhideWhenUsed/>
    <w:rsid w:val="00F46A1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1479</Words>
  <Characters>7987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2025-12-19T14:55:00Z</cp:lastPrinted>
  <dcterms:created xsi:type="dcterms:W3CDTF">2025-12-19T15:19:00Z</dcterms:created>
  <dcterms:modified xsi:type="dcterms:W3CDTF">2025-12-19T15:19:00Z</dcterms:modified>
</cp:coreProperties>
</file>