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4B9" w:rsidRPr="005769A0" w:rsidRDefault="00A33177" w:rsidP="009045D1">
      <w:pPr>
        <w:ind w:firstLine="851"/>
        <w:rPr>
          <w:rFonts w:ascii="Arial" w:hAnsi="Arial" w:cs="Arial"/>
          <w:sz w:val="24"/>
          <w:szCs w:val="24"/>
        </w:rPr>
      </w:pPr>
      <w:r w:rsidRPr="005769A0">
        <w:rPr>
          <w:rFonts w:ascii="Arial" w:hAnsi="Arial" w:cs="Arial"/>
          <w:sz w:val="24"/>
          <w:szCs w:val="24"/>
        </w:rPr>
        <w:t>L</w:t>
      </w:r>
      <w:r w:rsidR="006434B9" w:rsidRPr="005769A0">
        <w:rPr>
          <w:rFonts w:ascii="Arial" w:hAnsi="Arial" w:cs="Arial"/>
          <w:sz w:val="24"/>
          <w:szCs w:val="24"/>
        </w:rPr>
        <w:t xml:space="preserve">EI Nº </w:t>
      </w:r>
      <w:r w:rsidR="000014D9" w:rsidRPr="005769A0">
        <w:rPr>
          <w:rFonts w:ascii="Arial" w:hAnsi="Arial" w:cs="Arial"/>
          <w:sz w:val="24"/>
          <w:szCs w:val="24"/>
        </w:rPr>
        <w:t>12</w:t>
      </w:r>
      <w:r w:rsidR="00437915" w:rsidRPr="005769A0">
        <w:rPr>
          <w:rFonts w:ascii="Arial" w:hAnsi="Arial" w:cs="Arial"/>
          <w:sz w:val="24"/>
          <w:szCs w:val="24"/>
        </w:rPr>
        <w:t>4</w:t>
      </w:r>
      <w:r w:rsidR="005769A0" w:rsidRPr="005769A0">
        <w:rPr>
          <w:rFonts w:ascii="Arial" w:hAnsi="Arial" w:cs="Arial"/>
          <w:sz w:val="24"/>
          <w:szCs w:val="24"/>
        </w:rPr>
        <w:t>9</w:t>
      </w:r>
      <w:r w:rsidR="00B149FD" w:rsidRPr="005769A0">
        <w:rPr>
          <w:rFonts w:ascii="Arial" w:hAnsi="Arial" w:cs="Arial"/>
          <w:sz w:val="24"/>
          <w:szCs w:val="24"/>
        </w:rPr>
        <w:t>/202</w:t>
      </w:r>
      <w:r w:rsidR="00FC5081" w:rsidRPr="005769A0">
        <w:rPr>
          <w:rFonts w:ascii="Arial" w:hAnsi="Arial" w:cs="Arial"/>
          <w:sz w:val="24"/>
          <w:szCs w:val="24"/>
        </w:rPr>
        <w:t>4</w:t>
      </w:r>
      <w:r w:rsidR="006434B9" w:rsidRPr="005769A0">
        <w:rPr>
          <w:rFonts w:ascii="Arial" w:hAnsi="Arial" w:cs="Arial"/>
          <w:sz w:val="24"/>
          <w:szCs w:val="24"/>
        </w:rPr>
        <w:t>, DE</w:t>
      </w:r>
      <w:r w:rsidR="009045D1" w:rsidRPr="005769A0">
        <w:rPr>
          <w:rFonts w:ascii="Arial" w:hAnsi="Arial" w:cs="Arial"/>
          <w:sz w:val="24"/>
          <w:szCs w:val="24"/>
        </w:rPr>
        <w:t>2</w:t>
      </w:r>
      <w:r w:rsidR="005769A0" w:rsidRPr="005769A0">
        <w:rPr>
          <w:rFonts w:ascii="Arial" w:hAnsi="Arial" w:cs="Arial"/>
          <w:sz w:val="24"/>
          <w:szCs w:val="24"/>
        </w:rPr>
        <w:t>2</w:t>
      </w:r>
      <w:r w:rsidR="006434B9" w:rsidRPr="005769A0">
        <w:rPr>
          <w:rFonts w:ascii="Arial" w:hAnsi="Arial" w:cs="Arial"/>
          <w:sz w:val="24"/>
          <w:szCs w:val="24"/>
        </w:rPr>
        <w:t xml:space="preserve"> DE </w:t>
      </w:r>
      <w:r w:rsidR="005769A0" w:rsidRPr="005769A0">
        <w:rPr>
          <w:rFonts w:ascii="Arial" w:hAnsi="Arial" w:cs="Arial"/>
          <w:sz w:val="24"/>
          <w:szCs w:val="24"/>
        </w:rPr>
        <w:t>OUTUBRO</w:t>
      </w:r>
      <w:r w:rsidR="005F65C3" w:rsidRPr="005769A0">
        <w:rPr>
          <w:rFonts w:ascii="Arial" w:hAnsi="Arial" w:cs="Arial"/>
          <w:sz w:val="24"/>
          <w:szCs w:val="24"/>
        </w:rPr>
        <w:t>DE 202</w:t>
      </w:r>
      <w:r w:rsidR="00A572D8" w:rsidRPr="005769A0">
        <w:rPr>
          <w:rFonts w:ascii="Arial" w:hAnsi="Arial" w:cs="Arial"/>
          <w:sz w:val="24"/>
          <w:szCs w:val="24"/>
        </w:rPr>
        <w:t>4</w:t>
      </w:r>
      <w:r w:rsidR="00135EC1" w:rsidRPr="005769A0">
        <w:rPr>
          <w:rFonts w:ascii="Arial" w:hAnsi="Arial" w:cs="Arial"/>
          <w:sz w:val="24"/>
          <w:szCs w:val="24"/>
        </w:rPr>
        <w:t>.</w:t>
      </w:r>
    </w:p>
    <w:p w:rsidR="007609D5" w:rsidRPr="005769A0" w:rsidRDefault="007609D5" w:rsidP="009045D1">
      <w:pPr>
        <w:pStyle w:val="SemEspaamento"/>
        <w:ind w:firstLine="851"/>
        <w:jc w:val="center"/>
        <w:rPr>
          <w:rFonts w:ascii="Arial" w:hAnsi="Arial" w:cs="Arial"/>
          <w:i/>
          <w:iCs/>
        </w:rPr>
      </w:pPr>
      <w:bookmarkStart w:id="0" w:name="_Hlk162941067"/>
    </w:p>
    <w:p w:rsidR="005769A0" w:rsidRDefault="003E300B" w:rsidP="005769A0">
      <w:pPr>
        <w:ind w:left="4248" w:firstLine="851"/>
        <w:jc w:val="right"/>
        <w:rPr>
          <w:rFonts w:ascii="Arial" w:hAnsi="Arial" w:cs="Arial"/>
          <w:i/>
          <w:iCs/>
          <w:sz w:val="24"/>
          <w:szCs w:val="24"/>
        </w:rPr>
      </w:pPr>
      <w:bookmarkStart w:id="1" w:name="_Hlk172634423"/>
      <w:bookmarkStart w:id="2" w:name="_Hlk175731184"/>
      <w:bookmarkEnd w:id="0"/>
      <w:bookmarkEnd w:id="1"/>
      <w:r w:rsidRPr="005769A0">
        <w:rPr>
          <w:rFonts w:ascii="Arial" w:hAnsi="Arial" w:cs="Arial"/>
          <w:i/>
          <w:iCs/>
          <w:sz w:val="24"/>
          <w:szCs w:val="24"/>
        </w:rPr>
        <w:t xml:space="preserve">Dispõe sobre as diretrizes orçamentárias </w:t>
      </w:r>
    </w:p>
    <w:p w:rsidR="003E300B" w:rsidRDefault="003E300B" w:rsidP="005769A0">
      <w:pPr>
        <w:ind w:left="4248" w:firstLine="851"/>
        <w:jc w:val="right"/>
        <w:rPr>
          <w:rFonts w:ascii="Arial" w:hAnsi="Arial" w:cs="Arial"/>
          <w:i/>
          <w:iCs/>
          <w:sz w:val="24"/>
          <w:szCs w:val="24"/>
        </w:rPr>
      </w:pPr>
      <w:r w:rsidRPr="005769A0">
        <w:rPr>
          <w:rFonts w:ascii="Arial" w:hAnsi="Arial" w:cs="Arial"/>
          <w:i/>
          <w:iCs/>
          <w:sz w:val="24"/>
          <w:szCs w:val="24"/>
        </w:rPr>
        <w:t>para oexercício financeiro de 2025.</w:t>
      </w:r>
    </w:p>
    <w:p w:rsidR="00A40457" w:rsidRDefault="00A40457" w:rsidP="005769A0">
      <w:pPr>
        <w:ind w:left="4248" w:firstLine="851"/>
        <w:jc w:val="right"/>
        <w:rPr>
          <w:rFonts w:ascii="Arial" w:hAnsi="Arial" w:cs="Arial"/>
          <w:i/>
          <w:iCs/>
          <w:sz w:val="24"/>
          <w:szCs w:val="24"/>
        </w:rPr>
      </w:pPr>
    </w:p>
    <w:p w:rsidR="004E4B7C" w:rsidRPr="005769A0" w:rsidRDefault="004E4B7C" w:rsidP="005769A0">
      <w:pPr>
        <w:ind w:left="4248" w:firstLine="851"/>
        <w:jc w:val="right"/>
        <w:rPr>
          <w:rFonts w:ascii="Arial" w:hAnsi="Arial" w:cs="Arial"/>
          <w:i/>
          <w:iCs/>
          <w:sz w:val="24"/>
          <w:szCs w:val="24"/>
        </w:rPr>
      </w:pPr>
    </w:p>
    <w:p w:rsidR="009045D1" w:rsidRPr="005769A0" w:rsidRDefault="00057728" w:rsidP="005769A0">
      <w:pPr>
        <w:spacing w:before="120" w:after="120"/>
        <w:ind w:left="4956" w:firstLine="851"/>
        <w:jc w:val="both"/>
        <w:rPr>
          <w:rFonts w:ascii="Arial" w:hAnsi="Arial" w:cs="Arial"/>
          <w:sz w:val="24"/>
          <w:szCs w:val="24"/>
        </w:rPr>
      </w:pPr>
      <w:r w:rsidRPr="005769A0">
        <w:rPr>
          <w:rFonts w:ascii="Arial" w:hAnsi="Arial" w:cs="Arial"/>
          <w:i/>
          <w:iCs/>
          <w:sz w:val="24"/>
          <w:szCs w:val="24"/>
        </w:rPr>
        <w:t>.</w:t>
      </w:r>
      <w:bookmarkEnd w:id="2"/>
    </w:p>
    <w:p w:rsidR="003178CA" w:rsidRPr="005769A0" w:rsidRDefault="003178CA" w:rsidP="003E300B">
      <w:pPr>
        <w:ind w:firstLine="851"/>
        <w:rPr>
          <w:rFonts w:ascii="Arial" w:hAnsi="Arial" w:cs="Arial"/>
          <w:iCs/>
          <w:sz w:val="24"/>
          <w:szCs w:val="24"/>
        </w:rPr>
      </w:pPr>
      <w:r w:rsidRPr="005769A0">
        <w:rPr>
          <w:rFonts w:ascii="Arial" w:hAnsi="Arial" w:cs="Arial"/>
          <w:sz w:val="24"/>
          <w:szCs w:val="24"/>
        </w:rPr>
        <w:t>Olmiro Ricardo Saldanha Teixeira</w:t>
      </w:r>
      <w:r w:rsidRPr="005769A0">
        <w:rPr>
          <w:rFonts w:ascii="Arial" w:hAnsi="Arial" w:cs="Arial"/>
          <w:iCs/>
          <w:sz w:val="24"/>
          <w:szCs w:val="24"/>
        </w:rPr>
        <w:t xml:space="preserve">, </w:t>
      </w:r>
      <w:r w:rsidRPr="005769A0">
        <w:rPr>
          <w:rFonts w:ascii="Arial" w:hAnsi="Arial" w:cs="Arial"/>
          <w:sz w:val="24"/>
          <w:szCs w:val="24"/>
        </w:rPr>
        <w:t xml:space="preserve">Prefeito Municipal </w:t>
      </w:r>
      <w:r w:rsidRPr="005769A0">
        <w:rPr>
          <w:rFonts w:ascii="Arial" w:hAnsi="Arial" w:cs="Arial"/>
          <w:iCs/>
          <w:sz w:val="24"/>
          <w:szCs w:val="24"/>
        </w:rPr>
        <w:t>de Santa Margarida do Sul, Estado do Rio Grande do Sul, no uso das atribuições que me são conferidas por Lei:</w:t>
      </w:r>
    </w:p>
    <w:p w:rsidR="003178CA" w:rsidRPr="005769A0" w:rsidRDefault="003178CA" w:rsidP="003E300B">
      <w:pPr>
        <w:pStyle w:val="NormalWeb"/>
        <w:ind w:firstLine="851"/>
        <w:rPr>
          <w:rFonts w:ascii="Arial" w:hAnsi="Arial" w:cs="Arial"/>
          <w:iCs/>
        </w:rPr>
      </w:pPr>
      <w:r w:rsidRPr="005769A0">
        <w:rPr>
          <w:rFonts w:ascii="Arial" w:hAnsi="Arial" w:cs="Arial"/>
          <w:iCs/>
        </w:rPr>
        <w:t>FAÇO SABER que a Câmara Municipal, de Santa Margarida do Sul, aprovou e eu sanciono a seguinte Lei:</w:t>
      </w: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Capítulo I - Disposições Preliminares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1º Ficam estabelecidas, em cumprimento ao disposto no art. 165, § 2º, da Constituição Federal, no art.</w:t>
      </w:r>
      <w:r w:rsidRPr="005769A0">
        <w:rPr>
          <w:rFonts w:ascii="Arial" w:hAnsi="Arial" w:cs="Arial"/>
          <w:sz w:val="24"/>
          <w:szCs w:val="24"/>
        </w:rPr>
        <w:tab/>
        <w:t>da Lei   Orgânica do Município, e na Lei Complementar nº 101, de 04 de maio de 2000, as diretrizes gerais para elaboração do orçamento do Município, relativas ao exercício de 2025, compreendendo:</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 As metas e as prioridades da administração municipal;</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 organização e estrutura do orçamento;</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xml:space="preserve">III -As diretrizes para elaboração e execução do orçamento e suas alterações; </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-As disposições relativas à dívida pública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V-As disposições relativas às despesas do Município com pessoal e encargos sociais;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xml:space="preserve">VI-As disposições sobre alterações na legislação tributária;  </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VII-As disposições gerais.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Integram esta lei os seguintes anexos: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b/>
          <w:bCs/>
          <w:sz w:val="24"/>
          <w:szCs w:val="24"/>
        </w:rPr>
        <w:t>I - Anexo I</w:t>
      </w:r>
      <w:r w:rsidRPr="005769A0">
        <w:rPr>
          <w:rFonts w:ascii="Arial" w:hAnsi="Arial" w:cs="Arial"/>
          <w:sz w:val="24"/>
          <w:szCs w:val="24"/>
        </w:rPr>
        <w:t>, de metas fiscais, composto dos demonstrativos: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das metas fiscais anuais de acordo com o art. 4º, § 1o, da Lei Complementar nº 101/2000, acompanhado da memória e metodologia de cálculo;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Da avaliação do cumprimento das metas fiscais relativas ao ano de 2023;</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c)Das metas fiscais previstas para 2025, 2026 e 2027, comparadas com as fixadas nos exercícios de 2022, 2023 e 2024;</w:t>
      </w:r>
    </w:p>
    <w:p w:rsidR="003E300B" w:rsidRPr="005769A0" w:rsidRDefault="003E300B" w:rsidP="003E300B">
      <w:pPr>
        <w:ind w:firstLine="851"/>
        <w:jc w:val="both"/>
        <w:rPr>
          <w:rFonts w:ascii="Arial" w:hAnsi="Arial" w:cs="Arial"/>
          <w:sz w:val="24"/>
          <w:szCs w:val="24"/>
        </w:rPr>
      </w:pPr>
    </w:p>
    <w:p w:rsidR="005769A0"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Pr="005769A0" w:rsidRDefault="005769A0" w:rsidP="003E300B">
      <w:pPr>
        <w:ind w:firstLine="851"/>
        <w:jc w:val="both"/>
        <w:rPr>
          <w:rFonts w:ascii="Arial" w:hAnsi="Arial" w:cs="Arial"/>
          <w:sz w:val="24"/>
          <w:szCs w:val="24"/>
        </w:rPr>
      </w:pPr>
    </w:p>
    <w:p w:rsidR="005769A0" w:rsidRP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d)Da evolução do patrimônio líquido, conforme o art. 4º, § 2º, inciso III, da Lei Complementar nº 101/2000;</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e) Da origem e aplicação dos recursos obtidos com a alienação de ativos, em cumprimento ao disposto no art. 4º, § 2º, inciso III, da Lei Complementar nº 101/2000;</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f) Da avaliação da situação financeira e atuarial do Regime Próprio de Previdência dos Servidores Públicos Municipais, de acordo com o art. 4º, § 2º, inciso IV,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g) Da estimativa e compensação da renúncia de receita, conforme art. 4º, § 2º, inciso V,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h) Da margem de expansão das Despesas Obrigatórias de Caráter Continuado (DOCC), conforme art. 4º, § 2º, inciso V, da Lei Complementar nº 101/2000, cujo resultado é meramente indicativo de alerta para a criação de novas DOCC, ou da existência de espaço fiscal para a criação de novas despesas.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Anexo II, de Riscos Fiscais e providências, contendo a avaliação dos riscos orçamentários e os passivos contingentes capazes de afetar as contas públicas, em cumprimento ao art. 4º, § 3º,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Anexo III, de caráter informativo e não normativo, contemplando o detalhamento dos Programas e Ações previstos no Plano Plurianual, com execução prevista para próximo exercício, o qual deverá servir de referência para o planejamento, podendo ser atualizado pela lei orçamentária ou através de créditos adicionais.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Anexo IV, informando as despesas para conservação do patrimônio público e para os projetos em andamento, em cumprimento ao disposto no art. 45 da Lei Complementar nº 101, de 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Capítulo II - Das Metas e Prioridades da Administração Pública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2º A elaboração e aprovação do Projeto de Lei Orçamentária e a execução da respectiva Lei deverão ser compatíveis com a obtenção da meta de &lt;&lt;superávit&gt;&gt;&lt;&lt;déficit&gt;&gt; primário consolidado, de R$1.154.981,92 (um milhão cento e cinquenta e quatro mil novecentos e oitenta e um reais e noventa e dois centavos) conforme demonstrado no Anexo de Metas Fiscais constante do Anexo I a 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Para fins da demonstração da compatibilidade referida no caput, a meta de resultado primário poderá ser ajustada quando do encaminhamento do projeto de lei orçamentária anual, se verificadas alterações no comportamento das variáveis macroeconômicas utilizadas nas estimativas das receitas e despesas;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Na hipótese prevista pelo § 1º, o demonstrativo de que trata a alínea “a” do inciso I do parágrafo único do art. 1º desta Lei deverá ser reelaborado e encaminhado juntamente com o projeto de lei orçamentária anual, acompanhado da memória e metodologia de cálculo devidamente atualizadas.</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 3º Sem prejuízo do disposto no art. 65, II, da Lei Complementar nº 101/2000, em caso de não atingimento da meta de resultado primário estabelecida para 2025, admite-se, como limite de tolerância, o valor equivalente à frustração da arrecadação das receitas que são objeto das transferências previstas nos arts. 158, 159 e 212-A da Constituição Federal.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Para os fins do disposto no § 3º, considera-se frustração de arrecadação, a diferença a menor que for observada ao final de cada quadrimestre entre os valores da arrecadação acumulada do exercício, em comparação com igual período do ano anterior.</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para efeitos da audiência pública prevista no art. 9º, § 4º, da Lei Complementar nº 101/2000, a meta alcançada em cada quadrimestre será comparada com a meta prevista para o mesmo período ajustada, quando for o caso, ao limite de tolerância previsto no § 3º deste artigo.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3º As metas e prioridades para o exercício financeiro de 2025 relacionadas com a execução de programas e ações orçamentárias estão estruturadas de acordo com o Plano Plurianual para 2022/2025 - Lei nº, de 1058/2021 e suas alterações, estão especificadas no Anexo III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Na hipótese prevista no parágrafo anterior, as alterações do Anexo III serão evidenciadas em demonstrativo específico, a ser encaminhado juntamente com a proposta orçamentária para o próximo exercício.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Capítulo III - Da Organização e Estrutura do Orçamento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4º Na lei de orçamento, a despesa será discriminada por órgão, unidade orçamentária, função, subfunção, programa, ação orçamentária e natureza de despesa, detalhada até o nível de elemento.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O conceito de órgão corresponde ao maior nível da classificação institucional, que tem por finalidade agrupar unidades orçamentárias.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O conceito de unidade orçamentária corresponde ao menor nível da classificação institucional e sua classificação atenderá, no que couber, ao disposto no art. 14 da Lei Federal nº 4.320/64.</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Os conceitos de função, subfunção, programa, projeto, atividade e operação especial são aqueles dispostos na Portaria SOF/SETO/ME n.º 42/1999, e em suas alterações.</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 4º Os conceitos e códigos de categoria econômica, grupo de natureza de despesa, modalidade de aplicação e elemento de despesa são aqueles dispostos na Lei Federal nº 4.320/1964 e na Portaria Interministerial STN/SOF n.º 163, de 4 de maio de 2001, e em suas alterações.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As operações especiais relacionadas ao pagamento de encargos gerais do Município, serão consignadas em unidade orçamentária específica.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5º Independentemente da natureza de despesa em que for classificado, todo e qualquer crédito orçamentário deve ser consignado diretamente à unidade orçamentária à qual pertencem as ações correspondentes.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As operações entre órgãos, fundos e entidades previstas nos Orçamentos Fiscal e da Seguridade Social, que demandem emissão de empenho, serão executadas nos termos da Lei Federal nº 4.320/1964, utilizando-se a modalidade de aplicação 91 - Aplicação Direta Decorrente de Operação entre Órgãos, Fundos e Entidades Integrantes do Orçamento Fiscal e do Orçamento da Seguridade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6º Os orçamentos fiscal e da seguridade social compreenderão o conjunto das receitas públicas, bem como das despesas dos Poderes do Município, seus fundos, órgãos e entidades da Administração Direta e Indireta, inclusive fundações instituídas e mantidas pelo Município, devendo a correspondente execução ser registrada no sistema integrado de execução orçamentária e financeira a que se refere o art. 48, § 6º,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7º O Projeto de Lei Orçamentária Anual será encaminhado ao poder Legislativo, conforme estabelecido no § 5º do art. 165 da Constituição Federal, no art77da Lei Orgânica do Município e no art. 2º, da Lei Federal nº 4.320/1964.</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Integrarão a Proposta Orçamentária e a respectiva Lei Orçamentária, além dos quadros exigidos pela legislação federal: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I–Discriminação da legislação básica da receita e da despesa dos orçamentos fiscal e da seguridade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II–Demonstrativo da evolução da receita, por origem, em atendimento ao disposto no art. 12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demonstrativo da estimativa e compensação da renúncia de receita e da margem de expansão das despesas obrigatórias de caráter continuado, de acordo com o art. 5º, inciso II, da Lei Complementar nº 101/2000;</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IV-Quadro que evidencie, em colunas distintas, as receitas por origem e as despesas por grupo de natureza de despesa, dos orçamentos fiscal e da seguridade social, conforme art. 165, § 5º, III, da Constituição Federal;</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 -Demonstrativo da receita por origem (2º nível de detalhamento) e planos de aplicação das despesas dos Fundos Especiais de que trata o art. 2º, § 2º, I, da Lei Federal nº 4.320/1964;</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VI-Demonstrativo de compatibilidade da programação do orçamento com a meta de resultado primário, observando-se, quando cabível, o disposto nos §§ 1º e 2º do art. 2º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 demonstrativo da fixação da despesa com pessoal e encargos sociais, para os Poderes Executivo e Legislativo, confrontando a sua totalização com a receita corrente líquida prevista, conforme metodologia de cálculo prevista na Instrução Normativa nº 18/2023, do Tribunal de Contas do Estado ou da norma que lhe for superveniente;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VIII-demonstrativo da previsão das aplicações de recursos na Manutenção e Desenvolvimento do Ensino, nos termos da Lei Federal nº 9.394/1996, inclusive os recursos do Fundo de Manutenção e Desenvolvimento da Educação Básica e de Valorização dos Profissionais da Educação (Fundeb) de que trata a Lei Federal nº 14.113/2020;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IX-Demonstrativo da previsão da aplicação anual do Município em Ações e Serviços Públicos de Saúde, nos termos da Lei Complementar nº 141/2012;</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X-Demonstrativo dos instrumentos de programação a serem financiados com recursos de operações de crédito realizadas e a realizar;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XI-demonstrativo do cálculo do limite máximo da despesa do Poder Legislativo, conforme o artigo 29-A da Constituição Federal, observado o disposto no § 2º do art. 13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8º A mensagem que encaminhar o projeto de lei orçamentária anual conterá:</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I-Relato sucinto da situação econômica e financeira do Município e projeções para o próximo exercício, com destaque, se for o caso, para o comprometimento da receita corrente líquida com o pagamento da dívida;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II-Resumo da política econômica e social do Governo;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III-Memória de cálculo e justificativa da estimativa da receita e da fixação da despesa, observando-se, no que couber, ao disposto nos arts. 22, I, 39 e 30 da Lei Federal nº 4.320/1964 e no art. 12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IV-Demonstrativo da dívida fundada, assim como da evolução do seu estoque nos últimos três anos, a situação provável no final de 2024 e a previsão para o exercício de 2025;</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V-Relação dos precatórios a serem cumpridos com as dotações para tal fim constantes na proposta orçamentária;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VI-Relação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9º Deverão ser discriminadas em ações orçamentárias específicas as dotações destinadas: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xml:space="preserve">I - Às ações de alimentação escolar; </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 Às ações de transporte escolar;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À concessão de subvenções econômicas e subsídios a pessoas físicas e jurídicas com finalidade lucrativa;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IV-À concessão de subvenções sociais, contribuições correntes, contribuições de capital e auxílios a entidades privadas sem fins lucrativos;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V-À transferência de recursos para Consórcios Públicos em decorrência de contrato de rateio;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 Ao pagamento de sentenças judiciais;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 Às despesas com publicidade institucional;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VIII- Às despesas com amortização, juros e encargos da dívida pública;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IX- Ao custeio, pelo Município, de despesas de competência de outros entes da Federação, observado o disposto no art. 62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Art.10. A Reserva de Contingência para fins de atendimento dos riscos fiscais especificados no Anexo II desta Lei será constituída com recursos não vinculados, e será fixada em, no mínimo, 2% (dois por cento) da receita corrente líquida.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Para fins de utilização da reserva de contingência referida no caput, considera- se evento fiscal imprevisto a necessidade de atendimento de despesas não previstas ou insuficientemente dotadas na lei orçamentária, mediante abertura de créditos adicionais.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Além da Reserva de Contingência referida no caput, o Projeto de Lei Orçamentária conterá reservas para o atendimento de programações decorrentes de emendas parlamentares que forem aprovadas nos termos dos arts. 33 a 37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Capítulo IV - Das Diretrizes para Elaboração e Execução do Orçamento e suas Alterações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I - Das Diretrizes Gerais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11. Os órgãos da Administração Indireta e o Poder Legislativo encaminharão à Secretaria de Planejamento, até o dia 25 de outubro de 2024, suas respectivas propostas orçamentárias, para fins de consolidação do Projeto de Lei Orçamentária, observadas as disposições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 prazo estabelecido no caput também se aplica ao respectivo conselho, em relação às deliberações que, por força de norma legal, devem efetuar em relação às propostas de aplicação dos recursos vinculados: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Ao Fundo Municipal de Saúde - FMS;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-Ao Fundo Municipal de Assistência Social - FMAS;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-Ao fundo Municipal dos Direitos da Criança e do Adolescente - FMDCA;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 Ao Fundo Municipal do Idoso - FM Idoso;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 -Ao Fundo de Manutenção e Desenvolvimento da Educação Básica e de Valorização dos Profissionais da Educação (Fundeb); 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 -Ao Regime Próprio de Previdência Social (RPPS);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12. A elaboração, a aprovação e execução do orçamento obedecerão, entre outros, ao princípio da publicidade, promovendo-se a transparência da gestão fiscal e permitindo-se o amplo acesso da sociedade a todas as informações relativas a cada uma dessas etapas.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 Câmara Municipal organizará audiência(s) pública(s) para discussão da proposta orçamentária durante o processo de sua apreciação e aprovação.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Art. 13.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2025.</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Para fins da fixação da despesa orçamentária da Câmara Municipal, observado os limites estabelecidos no art. 29-A da Constituição Federal e a metodologia de cálculo estabelecida pela Instrução Normativa nº 18/2023 do Tribunal de Contas do Estado ou da norma que lhe for superveniente, considerar-se-á a receita arrecadada até mês de</w:t>
      </w:r>
      <w:r w:rsidRPr="005769A0">
        <w:rPr>
          <w:rFonts w:ascii="Arial" w:hAnsi="Arial" w:cs="Arial"/>
          <w:sz w:val="24"/>
          <w:szCs w:val="24"/>
        </w:rPr>
        <w:tab/>
        <w:t>, acrescida da tendência de arrecadação até o final do exercício.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14. Observado o disposto no art. 45 da Lei Complementar nº 101/2000, somente serão destinadas dotações para novos projetos para investimentos se: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Tiverem sido adequada e suficientemente contempladas as despesas para conservação do patrimônio público e para os projetos em andamento, constantes do Anexo IV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 ação estiver compatível com o Plano Plurianual.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 disposto neste artigo não se aplica ao início ou continuidade de investimentos programados com recursos oriundos de transferências voluntárias, de transferências especiais da União, de operações de crédito ou de alienação de bens, cuja execução fica limitada à respectiva disponibilidade orçamentária e financeira.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Para efeito do disposto no art. 16, § 3º, da Lei Complementar nº 101/2000, entendem-se como despesas irrelevantes aquelas cujo valor no exercício financeiro de 2025, em cada evento de contratação, não ultrapasse o limite estabelecido para dispensa de licitação de que trata o art. 75, inciso II, da Lei Federal nº 14.133/2021.</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No caso de despesas com pessoal e respectivos encargos, desde que não configurem geração de despesa obrigatória de caráter continuado, serão consideradas irrelevantes aquelas cujo montante, em cada evento de admissão, não exceda a 05vezes o menor padrão de vencimentos.</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Art. 16. No caso de aumento de despesas decorrentes da criação, expansão ou aperfeiçoamento de ação governamental, que não se enquadrem como de caráter irrelevante nos termos do art. 15 desta Lei, deverão ser observados os seguintes requisitos: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 Se for obrigatória de caráter continuado, atender ao disposto no art. 16 da Lei Complementar nº 101/2000 e estar acompanhada de medidas de compensação, no exercício em que entre em vigor e nos dois exercícios subsequentes, por meio 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Aumento de receita, proveniente de elevação de alíquotas, ampliação da base de cálculo, majoração ou criação de tributo ou contribuição; ou</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Redução permanente de despesas.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 Se não for obrigatória de caráter continuado, cumprir os requisitos previstos no art. 16 da Lei Complementar nº 101/2000, dispensada a apresentação de medida compensatória.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§1º Ficam dispensadas das medidas de compensação as hipóteses de aumento permanente de despesas previstas no § 1º do art. 24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§2º No caso de criação ou aumento de despesas decorrentes de ações destinadas ao combate de situação de calamidade pública, aplicam-se, no que couber, as disposições do art. 65, § 1º, III,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17. O controle de custos e avaliação dos resultados dos programas financiados com recursos dos orçamentos das ações desenvolvidas pelo Poder Público Municipal de deverão ser orientados para o estabelecimento da relação entre a despesa pública e o resultado obtido, de forma a priorizar a análise da eficiência na alocação dos recursos, permitindo o acompanhamento das gestões orçamentária, financeira e patrimonial.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Os custos serão apurados e avaliados através das operações orçamentárias, tomando-se por base, a comparação entre as despesas autorizadas e liquidadas, bem como a comparação entre as metas físicas previstas e as realizadas.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Caberá À Secretaria de</w:t>
      </w:r>
      <w:r w:rsidRPr="005769A0">
        <w:rPr>
          <w:rFonts w:ascii="Arial" w:hAnsi="Arial" w:cs="Arial"/>
          <w:sz w:val="24"/>
          <w:szCs w:val="24"/>
        </w:rPr>
        <w:tab/>
        <w:t>organizar a formação de Grupos Setoriais de Custos, oportunizando o acesso a treinamentos, reuniões técnicas e outros eventos a serem realizados com vistas ao aperfeiçoamento da gestão de custos na Administração Pública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As informações sobre a previsão e execução física e financeira dos programas finalísticos, cuja totalidade de recursos contemplados no respectivo orçamento seja superior a R$1.000.000,00 (Um milhão) deverão ser objeto de capítulo específico no relatório de avaliação das metas fiscais do último quadrimestre do exercício, a ser apresentado em audiência pública na forma do art. 25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II - Das Diretrizes Específicas do Orçamento da Seguridade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18. O Orçamento da Seguridade Social compreenderá as dotações destinadas a atender às ações de saúde, previdência e assistência social, e contará, entre outros, com recursos provenientes: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-Do produto da arrecadação de impostos e transferências constitucionais vinculados às ações e serviços públicos de saúde, nos termos da Lei Complementar nº 141, de 13 de janeiro de 2012;</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-Das receitas vinculadas ao Regime Próprio de Previdência Social dos Servidores Municipais;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-Das demais receitas cujas despesas integram, exclusivamente, o orçamento referido no caput deste artigo;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-De aportes de recursos do Orçamento Fiscal.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 orçamento da seguridade social será evidenciado na forma do demonstrativo previsto no inciso IV do parágrafo único do art. 7º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III - Da programação financeira e limitação de empenhos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equilíbrio.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O ato referido no caput deste artigo e os que o modificarem conterá:</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Metas quadrimestrais para o resultado primário, que servirão de parâmetro para a avaliação de que trata o art. 9º, § 4º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Metas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Cronograma de desembolso mensal de despesas, por órgão e unidade orçamentária.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Excetuadas as despesas com pessoal e encargos sociais, precatórios e sentenças judiciais, o cronograma de desembolso do Poder Legislativo terá, como referencial, o repasse previsto no art. 168 da Constituição Federal, na forma de duodécimos.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Art. 20. Na execução do orçamento, verificado que o comportamento da receita ordinária poderá afetar o cumprimento das metas fiscais, e observado o disposto no §2º do art. 2º desta Lei, os Poderes Executivo e Legislativo, adotarão, no âmbito das respectivas competências, a limitação de empenhos e movimentação financeira observadas as respectivas fontes de recursos, nas seguintes despesas: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I-Contrapartida para projetos ou atividades vinculados a recursos oriundos de fontes extraordinárias, como transferências voluntárias, operações de crédito, alienação de ativos, desde que ainda não comprometidos;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Obras em geral, cuja fase ou etapa ainda não esteja iniciada;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aquisição de combustíveis e derivados, destinada à frota de veículos, exceto dos setores de</w:t>
      </w:r>
      <w:r w:rsidRPr="005769A0">
        <w:rPr>
          <w:rFonts w:ascii="Arial" w:hAnsi="Arial" w:cs="Arial"/>
          <w:sz w:val="24"/>
          <w:szCs w:val="24"/>
        </w:rPr>
        <w:tab/>
        <w:t>Saúde e educação;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Dotação para materiais de consumo e serviços de terceiros das diversas atividades;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 Diárias de viagem;</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 Festividades, homenagens, recepções e demais eventos da mesma natureza; VII - despesas com publicidade institucional;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VIII - horas extras.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Na avaliação do cumprimento das metas bimestrais de arrecadação para implementação ou não do mecanismo da limitação de empenho e movimentação financeira, será considerado ainda o resultado financeiro apurado no Balanço Patrimonial do exercício de 2024, observada a vinculação de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Não serão objeto de limitação de empenho: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Despesas relacionadas com vinculações constitucionais e legais, nos termos do§ 2º do art. 9º da Lei Complementar nº 101/2000 e do art. 28 da Lei Complementar Federal n.º 141, de 13 de janeiro de 2012;</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As despesas com o pagamento de precatórios e sentenças judiciais de pequeno valor;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As despesas fixas e obrigatórias com pessoal e encargos sociais; 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As despesas financiadas com recursos de Transferências Voluntárias da União e do Estado, Operações de Crédito e Alienação de bens, observado o disposto no art. 22 desta Lei.</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 3º 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Os Chefes do Poder Executivo e do Poder Legislativo, com base na informação a que se refere o § 3º, editarão ato, até o trigésimo dia subsequente ao encerramento do respectivo bimestre, que evidencie a limitação de empenho e movimentação financeira.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Ocorrendo o restabelecimento da receita prevista, a recomposição se fará obedecendo ao disposto no art. 9º, § 1º,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21.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Os rendimentos das aplicações financeiras e outros ingressos orçamentários que venham a ser arrecadados através do Poder Legislativo, serão contabilizados como receita pelo Poder Executivo, tendo como contrapartida o repasse referido no caput este artigo.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O eventual saldo que não for devolvido no prazo estabelecido no parágrafo anterior, será devidamente registrado na contabilidade e considerado como antecipação de repasse do exercício financeiro de 2026.</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22. As dotações dos projetos, atividades e operações especiais previstos na Lei Orçamentária, ou em seus créditos adicionais, que dependam de recursos oriundos de transferências voluntárias, de transferências especiais da União, operações de crédito, alienação de bens e outros recursos vinculados, só serão movimentadas se ocorrer ou estiver garantido o seu ingresso no fluxo de caixa, respeitado ainda o montante ingressado ou garantido.</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 execução das Receitas e das Despesas identificará com codificação adequada cada uma das fontes de recursos, de forma a permitir o adequado controle da vinculação, na forma estabelecida pelo parágrafo único do art. 8º,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23. A despesa não poderá ser realizada se não houver comprovada e suficiente disponibilidade de dotação orçamentária para atendê-la, sendo vedada a adoção de qualquer procedimento que viabilize a sua realização sem observar a referida disponibilidade.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Os valores constantes no Projeto de Lei Orçamentária de 2025 poderão ser utilizados, até a sanção da respectiva Lei, para demonstrar a previsão orçamentária nos procedimentos referentes à fase interna da licitação.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24. Para efeito do disposto no § 1º do art. 1º e do art. 42 da Lei Complementar nº 101/2000, considera-se contraída a obrigação, e exigível o empenho da despesa correspondente, no momento da formalização do contrato administrativo ou instrumento congênere.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No caso de despesas relativas a obras e prestação de serviços, consideram-se compromissadas apenas as prestações cujos pagamentos devam ser realizados no exercício financeiro, observado o cronograma pactuado.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Sem prejuízo do disposto no caput, a inscrição ou a manutenção dos restos a pagar processados e não processados subordinam-se às regras definidas na Instrução Normativa nº 18/2023, do Tribunal de Contas ou norma que lhe for superveniente.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Compete ao Poder Legislativo Municipal, mediante prévio agendamento com o Poder Executivo, convocar e coordenar a realização das audiências públicas referidas no caput.</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IV - Das Alterações da Lei Orçamentária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26. A abertura de créditos suplementares e especiais dependerá da existência de recursos disponíveis para a despesa, nos termos da Lei Federal nº 4.320/1964.</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A apuração do excesso de arrecadação para fins de abertura de créditos adicionais será realizada por fonte de recursos, conforme exigência contida no art. 8º, parágrafo único,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Nos casos de abertura de créditos suplementares e especiais à conta de superávit financeiro, as exposições de motivos conterão informações relativas 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Superávit financeiro do exercício de 2024, por fonte de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Créditos especiais e extraordinários reabertos no exercício de 2025;</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valores do superávit já utilizados em créditos adicionais, abertos ou em tramitação;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Saldo atualizado do superávit financeiro disponível, por fonte de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Considera-se superávit financeiro do exercício anterior, para fins do § 2º do art. 43 da Lei Federal nº 4.320/1964, os recursos que forem disponibilizados a partir do cancelamento de restos a pagar, obedecida a fonte de recursos correspondente.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6º Os créditos adicionais serão abertos conforme detalhamento constante no art. 4.º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27. No âmbito do Poder Legislativo, a abertura de créditos suplementares autorizados pela Lei Orçamentária Anual, com indicação de recursos compensatórios do próprio órgão, nos termos do art. 43, § 1º, inciso III, da Lei Federal nº 4.320/1964, proceder-se-á por ato da Mesa Diretora da Câmara dos Vereadores.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28. Quanto necessária, a reabertura dos créditos especiais e extraordinários, conforme disposto no art. 167, § 2º, da Constituição Federal, será efetivada por ato do Poder Executivo.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A codificação da programação objeto da reabertura dos créditos especiais e extraordinários poderá ser adequada à constante da Lei Orçamentária, desde que não haja alteração da finalidade das ações orçamentárias.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29. O Poder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Para fins do disposto no caput, considera-se: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Transposições: deslocamento de dotações orçamentárias entre programas de trabalho alocados dentro do mesmo órgão ou unidade orçamentária;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 ou de órgãos da administração indireta.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Transferências: deslocamento de dotações de despesas correntes para despesas de capital, ou vice-versa, dentro do mesmo órgão ou unidade orçamentária e do mesmo programa de governo.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30.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 disposto no caput também se aplica no caso de ajustes na codificação orçamentária, decorrentes da necessidade de adequação à classificação vigente, desde que não impliquem em mudança de valores e de finalidade da programação.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V - Da execução provisória do Projeto de Lei Orçamentária</w:t>
      </w:r>
    </w:p>
    <w:p w:rsidR="003E300B" w:rsidRPr="005769A0" w:rsidRDefault="003E300B" w:rsidP="003E300B">
      <w:pPr>
        <w:ind w:firstLine="851"/>
        <w:jc w:val="center"/>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31. Se o projeto de lei orçamentária não for aprovado até 31 de dezembro de 2024,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 1º Excetuam-se do disposto no caput deste artigo as despesas correntes nas áreas da saúde, educação e assistência social, bem como aquelas relativas ao serviço da dívida, amortização, cumprimento de sentenças judiciais e despesas à conta de recursos oriundos de transferências voluntárias e de operações de crédito, que serão executadas segundo suas necessidades específicas e a efetiva disponibilidade de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Não será interrompido o processamento de despesas com obras em andamento, assim entendidas aquelas constantes no projeto de lei orçamentária cuja execução financeira, até 31 de dezembro de 2024, já tenha ultrapassado 20% (vinte por cento) do valor contratado.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VI - Das Disposições Relativas às Emendas ao Projeto de Lei de Orçamento</w:t>
      </w: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I - Disposições Gerais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32. Toda e qualquer e emenda ao projeto de lei orçamentária ou aos projetos de lei que a modifiquem, deverão ser compatíveis com os programas e objetivos da Lei nº1058 do - Plano Plurianual 2022/2025 e com as diretrizes, disposições, prioridades e metas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Não serão admitidas, com a ressalva do inciso III do § 3º do art. 166 da Constituição Federal, as emendas que resultem na diminuição das programações das despesas com pessoal e encargos sociais e com o serviço da dívida.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Para fins do disposto no § 3º, inciso I, do art. 166 da Constituição, serão consideradas incompatíveis com as diretrizes orçamentárias estabelecidas por 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As emendas que acarretem a aplicação de recursos abaixo dos gastos mínimos constitucionalmente previstos para a manutenção e desenvolvimento do ensino e com as ações e serviços públicos de saúde;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As emendas que não preservem as dotações destinadas ao pagamento de sentenças judiciais;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VII-As emendas que reduzirem o montante de dotações suportadas por recursos oriundos de transferências legais e voluntárias da União e/ou do Estado.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VI-As emendas que reduzirem em mais de5% (cinco por cento) do montante destinado para despesas de conservação do patrimônio público e para os projetos arrolados no Anexo IV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Para fins do disposto no art. 166, § 8º, da Constituição Federal, serão levados à reserva de contingência os recursos que, em decorrência de veto, emenda ou rejeição do projeto da Lei Orçamentária Anual, ficarem sem despesas correspondentes.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lastRenderedPageBreak/>
        <w:t>Subseção II - Do Regime de Aprovação e Execução das Emendas Individuais e de Bancada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33. Sem prejuízo do disposto na Constituição Federal e na Lei Orgânica do Município, o regime de aprovação e execução das emendas individuais e de bancada ao projeto de lei orçamentária atenderá ao disposto nesta subseção.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34. É obrigatória a execução orçamentária e financeira, de forma equitativa, das programações decorrentes de emendas individuais e de bancada aprovadas ao projeto de lei orçamentária, observado, na execução, o disposto nos §§ 11 e 12 do art. 166 da Constituição.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Considera-se equitativa a execução das programações de caráter obrigatório que observe critérios objetivos e imparciais e que atenda de forma igualitária e impessoal às emendas apresentadas, independentemente da autoria.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Ressalvada a ocorrência de impedimentos cujo prazo para superação inviabilize o reconhecimento da despesa até o final do exercício financeiro, entende-se por: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 Execução orçamentária: o empenho e a liquidação da despesa, inclusive a sua inscrição em restos a pagar;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 execução financeira: o pagamento da despesa, inclusive dos restos a pagar que deverá corresponder, no mínimo, à metade do montante total das programações das emendas individuais e de bancada.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Na ocorrência de situação que determine a limitação de empenhos e movimentação financeira nos termos do art. 20 desta Lei, a execução orçamentária das programações orçamentárias das emendas poderá ser reduzida na mesma proporção.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35. Para fins de atendimento ao disposto nesta Subseção, constarão no Projeto de Lei Orçamentária as seguintes reservas de contingência: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I-De 2% (dois por cento) da receita corrente líquida arrecadada no exercício financeiro de 2023, sendo 1% (um por cento) de recursos livres e 1% (um por cento) de recursos vinculados às ações e serviços públicos de saúde, a qual deverá ser indicada como fonte de recursos para a aprovação das emendas individuais;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II-De 1% (um por cento) da receita corrente líquida reestimada para o exercício de 2024, constituída de recursos livres, a qual deverá ser indicada como fonte de recursos para a aprovação das emendas de bancada.</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 xml:space="preserve">§ 1º Para fins de cálculo do valor da Receita Corrente Líquida referida nos incisos    I e II do caput, considerar-se-á a metodologia estabelecida na Instrução Normativa nº18/2023, do Tribunal de Contas do Estado ou a norma que lhe for superveniente. </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Para apresentação das emendas de que trata estra seção, o Legislativo observará o que segue: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I-No caso das emendas individuais, o valor total por autor será obtido a partir da divisão do montante estabelecido no inciso I do caput pelo número de Vereadores com assento da Câmara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II-Para as emendas de bancada, o valor total a ser atribuído a cada uma será obtido a partir da divisão do montante estabelecido no inciso II do caput pelo número de Vereadores com assento da Câmara Municipal, multiplicando-se o resultado obtido pelo número de representantes de cada bancada.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É vedada qualquer forma de cessão ou transferência entre vereadores ou entre bancadas, dos limites de que tratam os incisos I e II do parágrafo anterior.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Não será obrigatória a execução orçamentária e financeira das emendas individuais e de bancada que desatenderem os critérios estabelecidos nesta subseção, sendo os recursos correspondentes revertidos à reserva de contingência, os quais poderão ser utilizados pelo Poder Executivo para a abertura de créditos adicionais.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36. Para fins do disposto no §13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Sem prejuízo de outros critérios e procedimentos adicionais que venham a ser estabelecidos em ato do Poder Executivo, são consideradas hipóteses de impedimentos de ordem técnica: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Não indicação, pelo autor da emenda, quando for o caso, do beneficiário e respectivo valor;</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II-No caso de emendas que proponham transferências de recursos sob a forma de subvenções, auxílios ou contribuições: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Não cumprimento pela entidade beneficiária, dos requisitos estabelecidos na Seção VII do Capítulo IV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Ausência de pertinência temática entre o objeto proposto e a finalidade institucional da entidade beneficiária;</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c)Não apresentação de proposta ou plano de trabalho ou apresentação fora dos prazos previstos em regulamento;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d)Não realização de complementação ou ajustes solicitados em proposta ou plano de trabalho, bem como realização de complementação ou ajustes fora dos prazos previstos.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Desistência expressa do beneficiário da emenda;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Incompatibilidade do objeto da emenda com a finalidade do programa ou da ação orçamentária emendada;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V-No caso de emendas relativas à aquisição de equipamentos ou execução de obras ou instalações: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Incompatibilidade do valor proposto com o custo de aquisição dos equipamentos ou, no caso de obras, com o cronograma físico financeiro de execução do projeto que permita, no mínimo, a conclusão de etapa útil com funcionalidade que permita o usufruto dos benefícios pela sociedade;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Ausência de projeto de engenharia aprovado pelo órgão responsável, nos casos em que for necessário;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c)A ausência de licença ambiental prévia, nos casos em que for necessária;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d)Não comprovação, por parte do órgão ou entidade beneficiada pela emenda, da capacidade de aportar recursos para manutenção e operação do empreendimento, após a sua conclusão;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VI-A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VII-A não indicação das Reservas de Contingência referidas nos incisos I e II art. 35 desta Lei, como fonte de recursos para, respectivamente, atender as emendas individuais e de bancada;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Não constitui impedimento de ordem técnica a classificação indevida de modalidade de aplicação e elemento de despesa, cabendo ao Poder Executivo realizar os ajustes necessários.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Em atendimento ao disposto no § 14 do art. 166 da Constituição, com o fim de viabilizar a execução das programações incluídas por emendas individuais e de bancada, até 120dias após a publicação da Lei Orçamentária, o Poder Executivo estabelecerá, em decreto, o cronograma para análise e verificação de eventuais impedimentos das programações aprovadas pelo Legislativo e demais procedimentos necessários à viabilização da execução das emendas de que trata esta subseção.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 4º Inexistindo impedimento de ordem técnica ou tão logo o óbice seja superado, os órgãos e as unidades deverão, nos termos do Decreto referido do parágrafo anterior, adotar os meios e as medidas necessários à execução das programações, observados os limites da programação orçamentária e financeira vigente.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As dotações orçamentárias relativas às emendas individuais ou de bancada que permanecerem com impedimento técnico insuperável após 20 de novembro de 2025 poderão ser utilizadas pelo Poder Executivo como fonte de recursos para a abertura de créditos adicionais, na forma da Lei Federal nº 4.320/1964.</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6º As justificativas para a inexecução das programações orçamentárias das emendas individuais e de bancada comporão o relatório de avaliação das metas fiscais do último quadrimestre do exercício, a ser apresentado em audiência pública na forma do art. 25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37. 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Os relatórios referidos no caput deste artigo, deverão detalhar, no mínimo, a relação das emendas aprovadas, o autor, a classificação, a ação orçamentária, bem como os respectivos valores aprovados e executados.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VII - Da Destinação de Recursos Públicos a Pessoas Físicas e   Jurídicas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I - Das Subvenções Econômicas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38.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Em atendimento ao disposto no art. 19 da Lei Federal nº 4.320/1964, a destinação de recursos às entidades privadas com fins lucrativos de que trata o caput somente poderá ocorrer por meio de subvenções econômicas, sendo vedada a transferência a título de contribuições ou auxílios para despesas de capital.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As transferências a entidades privadas com fins lucrativos de que trata o caput deste artigo, serão executadas na modalidade de aplicação 60 - Transferências a Instituições Privadas com fins lucrativos” e no elemento de despesa 45 - Subvenções Econômicas.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39. 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 Aplicações Diretas e no elemento de despesa 48 - Outros Auxílios Financeiros a Pessoas Físicas.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II - Das Subvenções Sociais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40. A transferência de recursos a título de subvenções sociais, nos termos dos arts. 12, § 3º, I, 16 e 17 da Lei Federal nº 4.320/1964, atenderá às entidades privadas sem fins lucrativos que exerçam atividades de natureza continuada nas áreas de cultura, assistência social, saúde e educação.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III - Das Contribuições Correntes e de Capital</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41. A transferência de recursos a título de contribuição corrente somente será destinada a entidades sem fins lucrativos que preencham uma das seguintes condições: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I-Estejam autorizadas em lei específica, que identifique expressamente a entidade beneficiária;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Estejam nominalmente identificadas na Lei Orçamentária; ou</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Sejam selecionadas para execução, em parceria com a Administração Pública Municipal, de atividades ou projetos que contribuam diretamente para o alcance de diretrizes, objetivos e metas previstas no Plano Plurianual.</w:t>
      </w:r>
    </w:p>
    <w:p w:rsidR="003E300B" w:rsidRPr="005769A0" w:rsidRDefault="003E300B" w:rsidP="003E300B">
      <w:pPr>
        <w:ind w:firstLine="851"/>
        <w:jc w:val="both"/>
        <w:rPr>
          <w:rFonts w:ascii="Arial" w:hAnsi="Arial" w:cs="Arial"/>
          <w:sz w:val="24"/>
          <w:szCs w:val="24"/>
        </w:rPr>
      </w:pPr>
    </w:p>
    <w:p w:rsidR="003E300B" w:rsidRDefault="003E300B" w:rsidP="005769A0">
      <w:pPr>
        <w:ind w:firstLine="851"/>
        <w:jc w:val="both"/>
        <w:rPr>
          <w:rFonts w:ascii="Arial" w:hAnsi="Arial" w:cs="Arial"/>
          <w:sz w:val="24"/>
          <w:szCs w:val="24"/>
        </w:rPr>
      </w:pPr>
      <w:r w:rsidRPr="005769A0">
        <w:rPr>
          <w:rFonts w:ascii="Arial" w:hAnsi="Arial" w:cs="Arial"/>
          <w:sz w:val="24"/>
          <w:szCs w:val="24"/>
        </w:rPr>
        <w:tab/>
        <w:t>Art. 42. A alocação de recursos para entidades privadas sem fins lucrativos, a título de contribuições de capital, fica condicionada à autorização em lei especial anterior de que trata o art. 12, § 6o, da Lei Federal nº 4.320/1964.</w:t>
      </w:r>
    </w:p>
    <w:p w:rsidR="005769A0" w:rsidRPr="005769A0" w:rsidRDefault="005769A0" w:rsidP="005769A0">
      <w:pPr>
        <w:ind w:firstLine="851"/>
        <w:jc w:val="both"/>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IV - Dos Auxílios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43. A transferência de recursos a título de auxílios, previstos no art. 12, § 6º, da Lei Federal nº 4.320/1964, que dependa da abertura de crédito adicional especial ou extraordinário, somente poderá ser realizada para entidades privadas sem fins lucrativos que sejam:</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De atendimento direto e gratuito ao público e voltadas para a educação básica ou educação especial;</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II-Para o desenvolvimento de programas voltados a manutenção e preservação do Meio Ambiente;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Voltadas a ações de saúde e de atendimento direto e gratuito ao público, prestadas por entidades sem fins lucrativos que sejam certificadas como entidades beneficentes de assistência social na área de saúde;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Qualificadas como Organização da Sociedade Civil de Interesse Público - OSCIP, com termo de parceria firmada com o Poder Público Municipal, de acordo com a Lei Federal nº 9.790/1999, e que participem da execução de programas constantes no plano plurianual, devendo a destinação de recursos guardar conformidade com os objetivos sociais da entidade;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 - Qualificadas para o desenvolvimento de atividades esportivas que contribuam para a formação e capacitação de atletas;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VI–Se destinam a atender, assegurar e a promover o exercício dos direitos e das liberdades fundamentais por pessoa com deficiência, visando à sua habilitação, reabilitação e integração social e cidadania, nos termos da Lei Federal nº 13.146/2015;</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VII–Que desenvolvam atividades de coleta e processamento de material reciclável, e sejam constituídas sob a forma de associações ou cooperativas integradas por pessoas em situação de risco social, hipótese em que caberá ao Poder Executivo aprovar as condições para aplicação dos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VIII- Voltadas ao atendimento direto e gratuito ao público na área de assistência social que:</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Se destinem a pessoas idosas, crianças e adolescentes em situação de vulnerabilidade social, risco pessoal e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Sejam voltadas ao atendimento de pessoas em situação de vulnerabilidade social, violação de direito ou diretamente alcançadas por programas e ações de combate à pobreza e geração de trabalho e renda;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No caso do inciso I, a transferência de recursos públicos deve ser obrigatoriamente justificada e vinculada ao plano de expansão da oferta pública na respectiva etapa e modalidade de educação.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Subseção V - Das Disposições Gerais para Destinação de Recursos Públicos para Pessoas Físicas e Jurídicas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44. Sem prejuízo das demais disposições contidas nesta seção, a transferência de recursos prevista na Lei Federal nº4.320/1964, a entidade privada sem fins lucrativos, dependerá ainda 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I-Execução da despesa na modalidade de aplicação 50 - Transferências a Instituições Privadas sem fins lucrativos;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II-Estar regularmente constituída, assim considerado: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No mínimo02 (dois)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Tenha escrituração de acordo com os princípios fundamentais de contabilidade e com as Normas Brasileiras de Contabilidade;</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III-Ter apresentado as prestações de contas de recursos anteriormente recebidos, nos prazos e condições fixados na legislação e no convênio ou termo de parceria, contrato ou instrumento congênere celebrados;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-Inexistir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V-Não ter como dirigente pessoa que: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Seja membro de Poder, órgão ou entidade da Administração Pública Municipal, estendendo-se a vedação aos respectivos cônjuges ou companheiros, bem como parentes em linha reta, colateral ou por afinidade, até o segundo grau;</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Incida em quaisquer das hipóteses de inelegibilidade previstas no art. 1o, inciso I, da Lei Complementar no 64, de 18 de maio de 1990;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c)Cujas contas relativas a convênios, termos de parcerias, contratos ou instrumentos congêneres tenham sido julgadas irregulares ou rejeitadas por Tribunal ou Conselho de Contas de qualquer esfera da Federação, em decisão irrecorrível, nos últimos 8 (oito) anos;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d)Tenha sido julgada responsável por falta grave e inabilitada para o exercício de cargo em comissão ou função de confiança, enquanto durar a inabilitação;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e) Tenha sido considerada responsável por ato de improbidade, enquanto durarem os prazos estabelecidos nos incisos I, II e III do art. 12 da Lei no 8.429, de 2 de junho de 1992.</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 Formalização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Caberá a Procuradoria Jurídica verificar e declarar a implementação das condições previstas neste artigo e demais requisitos estabelecidos nesta seção, comunicando à Unidade Central de Controle Interno eventuais irregularidades verificadas.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45.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Art. 46.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§1º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I-Nome e CNPJ da entidade;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II-Nome, função e CPF dos dirigentes;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-Área de atuação;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Endereço da sede;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 Data, objeto, valor e número do convênio, termo de parceria, contrato ou instrumento congênere;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VI-Valores transferidos e respectivas datas.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xml:space="preserve"> §2º Sem prejuízo do parágrafo anterior, no caso das parcerias celebradas com base nas disposições da Lei Federal nº 13.019/2014, deverão ser observadas, no que couber, as disposições dos arts. 10, 11 e 12 da referida Lei. </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47. A notas de empenho das transferências de recursos de que trata esta Seção deverá serão emitidas até a data da assinatura do respectivo convênio, termo de parceria, ajuste ou instrumento congênere, observado o princípio da competência da despesa, nos termos do art. 50, inciso II,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48. Toda movimentação de recursos relativos às subvenções, contribuições e auxílios de que trata esta Seção, por parte das entidades beneficiárias, somente será realizada observando-se os seguintes preceitos: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I-Depósito e movimentação em conta bancária específica para cada instrumento de transferência;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Desembolsos mediante documento bancário, por meio do qual se faça crédito na conta bancária de titularidade do fornecedor ou prestador de serviços.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ab/>
        <w:t>Art. 49. Não se aplicam a disposições desta seção os recursos entregues a Consórcios Públicos mediante contrato de rateio, nos termos regulados pela Lei Federal nº 11.107/2005 e pelo Decreto Federal nº 6.017/2017.</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Seção VIII - Dos Empréstimos, Financiamentos e Refinanciamentos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50. Observado o disposto no art. 27 da Lei Complementar nº 101/2000, a concessão de empréstimos e financiamentos destinados a pessoas físicas e jurídicas fica condicionada ao pagamento de juros não inferiores a 12% (doze por cento) ao ano, ou ao custo de captação e às seguintes exigências: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 Concessão através de fundo rotativo ou programa governamental específico; II - pré-seleção e aprovação dos beneficiários pelo Poder Público;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Formalização de contrato;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-Assunção, pelo mutuário, dos encargos financeiros, eventuais comissões, taxas e outras despesas cobradas pelo agente financeiro, quando for o caso.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No caso das pessoas jurídicas, serão consideradas como prioritárias, para a concessão de empréstimos ou financiamentos, as empresas que: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xml:space="preserve">I - Desenvolvam projetos de responsabilidade socioambiental; </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 Integrem as cadeias produtivas locais;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empreguem pessoas com deficiência em proporção superior à exigida no art. 110 da Lei Federal nº 8.213, de 24 de julho de 1991;</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Adotem políticas de participação dos trabalhadores nos lucros;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Através de lei específica, poderão ser concedidos subsídios para o pagamento dos empréstimos e financiamentos de que trata o caput deste artigo, bem como autorizadas prorrogações e parcelamentos de saldos devedores.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t>Capítulo V - Das Disposições Relativas à Dívida Pública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51. A lei orçamentária anual garantirá recursos para pagamento da dívida pública municipal, nos termos dos compromissos firmados, inclusive com a previdência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52.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center"/>
        <w:rPr>
          <w:rFonts w:ascii="Arial" w:hAnsi="Arial" w:cs="Arial"/>
          <w:b/>
          <w:bCs/>
          <w:sz w:val="24"/>
          <w:szCs w:val="24"/>
        </w:rPr>
      </w:pPr>
    </w:p>
    <w:p w:rsidR="005769A0" w:rsidRDefault="005769A0" w:rsidP="003E300B">
      <w:pPr>
        <w:ind w:firstLine="851"/>
        <w:jc w:val="center"/>
        <w:rPr>
          <w:rFonts w:ascii="Arial" w:hAnsi="Arial" w:cs="Arial"/>
          <w:b/>
          <w:bCs/>
          <w:sz w:val="24"/>
          <w:szCs w:val="24"/>
        </w:rPr>
      </w:pPr>
    </w:p>
    <w:p w:rsidR="003E300B" w:rsidRPr="005769A0" w:rsidRDefault="003E300B" w:rsidP="003E300B">
      <w:pPr>
        <w:ind w:firstLine="851"/>
        <w:jc w:val="center"/>
        <w:rPr>
          <w:rFonts w:ascii="Arial" w:hAnsi="Arial" w:cs="Arial"/>
          <w:b/>
          <w:bCs/>
          <w:sz w:val="24"/>
          <w:szCs w:val="24"/>
        </w:rPr>
      </w:pPr>
      <w:r w:rsidRPr="005769A0">
        <w:rPr>
          <w:rFonts w:ascii="Arial" w:hAnsi="Arial" w:cs="Arial"/>
          <w:b/>
          <w:bCs/>
          <w:sz w:val="24"/>
          <w:szCs w:val="24"/>
        </w:rPr>
        <w:lastRenderedPageBreak/>
        <w:t>Capítulo VI - Das Disposições Relativas às Despesas com Pessoal e    Encargos Sociais</w:t>
      </w:r>
    </w:p>
    <w:p w:rsidR="003E300B" w:rsidRPr="005769A0" w:rsidRDefault="003E300B" w:rsidP="003E300B">
      <w:pPr>
        <w:ind w:firstLine="851"/>
        <w:jc w:val="center"/>
        <w:rPr>
          <w:rFonts w:ascii="Arial" w:hAnsi="Arial" w:cs="Arial"/>
          <w:b/>
          <w:bCs/>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53. No exercício de 2025, a concessão de vantagens, aumento de remuneração, criação de cargos, empregos e funções ou alteração de estrutura de carreiras, bem como a admissão ou contratação de pessoal, a qualquer título, pelos Poderes Executivo e Legislativo, compreendidas as entidades mencionadas no art. 6º dessa Lei, deverão obedecer às disposições deste capítulo e, no que couber, 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Todas as unidades gestoras deverão ter como base de projeção de suas propostas orçamentárias, relativo a pessoal e encargos sociais, a despesa com a folha de pagamento do mês de agosto de 2024, compatibilizada com as despesas apresentadas até esse mês e os eventuais acréscimos legais com efeito financeiro no próximo exercício, inclusive a revisão geral anual da remuneração dos servidores públicos e o crescimento vegetativo.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54. Para fins dos limites previstos no art. 19, inciso III, alíneas “a” e “b” da Lei Complementar nº 101/2000, o cálculo das despesas com pessoal dos poderes executivo e legislativo deverá observar as prescrições da Instrução Normativa nº 18/2023 do Tribunal de Contas do Estado, ou a norma que lhe for superveniente.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Em atendimento ao disposto no § 1º do artigo 18 da Lei Complementar nº 101/2000, os contratos, convênios e demais ajustes celebrados pelos órgãos e entidades mencionados no art. 6º desta Lei, que contenham elementos indicativos de contratação de mão de obra empregada em atividade-fim da do órgão contratante ou inerentes a categorias funcionais abrangidas pelo respectivo plano de cargos e salários do seu quadro de pessoal deverão identificar, em planilha de custos específica, integrante dos respectivos instrumentos, o valor que se refere ao custo da remuneração de pessoal e encargos sociais, diretamente relacionado com o objeto do ajuste.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55. Em cumprimento ao disposto no art. 39, § 6º da Constituição Federal, até 30 dias antes do prazo previsto para envio do Projeto de Lei Orçamentária ao Poder Legislativo, o Poder Executivo publicará os valores do subsídio e da remuneração dos cargos e empregos públicos.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O Poder Legislativo, observará o cumprimento do disposto neste artigo, mediante ato da mesa diretora da Câmara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56. O aumento da despesa com pessoal, em decorrência de quaisquer das medidas relacionadas no artigo 169, § 1º, da Constituição Federal, respeitados os limites previstos nos artigos 20 e 22, parágrafo único, da Lei Complementar nº 101/2000, e cumpridas as exigências previstas nos artigos 16, 17 e 21 do referido diploma legal, fica autorizado para: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Conceder vantagens e aumentar a remuneração de servidores;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Criar e extinguir cargos públicos e alterar a estrutura de carreiras;</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III -Prover cargos efetivos, mediante concurso público, bem como efetuar contratações por tempo determinado para atender à necessidade temporária de excepcional interesse público, respeitada a legislação municipal vigente;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IV -Prover cargos em comissão e funções de confiança.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Também estão autorizadas as seguintes ações, relacionadas com a política de pessoal da Administração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Proporcionar o desenvolvimento profissional de servidores municipais, mediante a realização de programas de treinamento;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Proporcionar o desenvolvimento pessoal dos servidores municipais, mediante a realização de programas informativos, educativos e culturais;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 Melhorar as condições de trabalho, equipamentos e infraestrutura, especialmente no que concerne à saúde, alimentação, transporte e segurança no trabalho.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Estimativa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Declaração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As estimativas de impacto orçamentário-financeiro e declaração do ordenador de despesas para o aumento dos gastos com pessoal, terão validade de06 (seis) meses contados da data da sua elaboração, devendo tais documentos ser reelaborados na hipótese de não ser praticado, dentro deste prazo, o ato que resulte aumento da despesa com pessoal.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4º No caso de aumento de despesas com pessoal do Poder Legislativo, deverão ser obedecidos, adicionalmente, os limites fixados nos arts. 29 e 29-A da Constituição Federal.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5º Os atos que provoquem aumento da despesa de que tratam os incisos I, II, III e IV do Caput serão considerados nulos de pleno direito, caso praticados sem o atendimento das disposições dos incisos I e II do § 2º deste artigo.</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 6º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7º As disposições do § 2º do art. 56 desta Lei não se aplicam aos atos de concessão de vantagens já previstas na legislação pertinente, de caráter meramente declaratório bem como as despesas irrelevantes, até o valor estabelecido no art. 15, § 2º desta lei.</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57.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I-As situações de emergência ou de calamidade pública;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II-As situações de risco iminente à segurança de pessoas ou bens;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III-A relação custo-benefício se revelar mais favorável em relação a outra alternativa possível.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A autorização para a realização de serviço extraordinário, no âmbito do Poder Executivo, nas condições estabelecidas neste artigo, é de exclusiva competência do Chefe do Poder Executivo.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sz w:val="24"/>
          <w:szCs w:val="24"/>
        </w:rPr>
      </w:pPr>
      <w:r w:rsidRPr="005769A0">
        <w:rPr>
          <w:rFonts w:ascii="Arial" w:hAnsi="Arial" w:cs="Arial"/>
          <w:b/>
          <w:sz w:val="24"/>
          <w:szCs w:val="24"/>
        </w:rPr>
        <w:t>Capítulo VII - Das Alterações na Legislação Tributária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58. As receitas serão estimadas e discriminadas: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 Considerando a legislação tributária vigente até a data do envio do projeto de lei orçamentária à Câmara Municipal;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 Considerando, se for o caso, os efeitos das alterações na legislação tributária, resultantes de projetos de lei encaminhados à Câmara Municipal até a data de apresentação da proposta orçamentária de 2025, especialmente sobre:</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 Atualização da planta genérica de valores do Município;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b) Revisão, atualização ou adequação da legislação sobre o Imposto Predial e Territorial Urbano, suas alíquotas, forma de cálculo, condições de pagamento, descontos e isenções, inclusive com relação à progressividade desse imposto;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c)Revisão da legislação sobre o uso do solo, com redefinição dos limites da zona urbana municipal;</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ab/>
      </w: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d)Revisão da legislação referente ao Imposto Sobre Serviços de Qualquer Natureza;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e) Revisão da legislação aplicável ao Imposto Sobre Transmissão Inter Vivos de Bens Imóveis e de Direitos Reais sobre Imóveis;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f) Instituição de novas taxas pela prestação de serviços públicos e pelo exercício do poder de polícia;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g) Revisão das isenções tributárias, para atender ao interesse público e à justiça 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h) Revisão das contribuições sociais, destinadas à seguridade social, cuja necessidade tenha sido evidenciada através de cálculo atuarial;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i)Demais incentivos e benefícios fiscais.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59. Caso não sejam aprovadas as modificações referidas no inciso II do art. 58, ou essas o sejam parcialmente, de forma a impedir a integralização dos recursos estimados, o Poder Executivo providenciará, conforme o caso, os ajustes necessários na programação da despesa, mediante Decreto.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60.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1º A concessão ou ampliação em valor equivalente.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2º Poderá ser considerado como aumento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 3º Não se sujeitam às regras do § 1º:</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 A homologação de pedidos concessão de incentivos ou benefícios apresentados com base na legislação municipal preexistente;</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II-A concessão de incentivos ou benefícios de natureza tributária ou não tributária cujo impacto seja irrelevante, assim considerado o limite de1% (um por cento) da Receita Corrente Líquida prevista para o exercício de 2025.</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III-Os incentivos ou benefícios de natureza tributária ou não tributária concedidos de acordo com as disposições do art. 65, § 1º, III, da Lei Complementar nº 101/2000.</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61.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center"/>
        <w:rPr>
          <w:rFonts w:ascii="Arial" w:hAnsi="Arial" w:cs="Arial"/>
          <w:b/>
          <w:sz w:val="24"/>
          <w:szCs w:val="24"/>
        </w:rPr>
      </w:pPr>
      <w:r w:rsidRPr="005769A0">
        <w:rPr>
          <w:rFonts w:ascii="Arial" w:hAnsi="Arial" w:cs="Arial"/>
          <w:b/>
          <w:sz w:val="24"/>
          <w:szCs w:val="24"/>
        </w:rPr>
        <w:t>Capítulo VIII - Das Disposições Gerais</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62.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A Lei Orçamentária anual, ou seus créditos adicionais, deverão contemplar recursos orçamentários suficientes para o atendimento das despesas de que trata o caput deste artigo.</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63. Por meio da Secretaria Municipal de Administração e Fazenda,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64. Em consonância com o que dispõe o § 5º do art. 166 da Constituição Federal e o art 79da Lei Orgânica do Município, poderá o Prefeito enviar Mensagem à Câmara Municipal para propor modificações aos projetos de lei orçamentária enquanto não estiver concluída a votação da parte cuja alteração é proposta.</w:t>
      </w:r>
    </w:p>
    <w:p w:rsidR="003E300B" w:rsidRPr="005769A0" w:rsidRDefault="003E300B"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Art. 65 Fica facultado ao Poder Executivo publicar no órgão oficial de imprensa, de forma simplificada, a Lei Orçamentária Anual bem como as leis e os decretos de abertura dos créditos adicionais.</w:t>
      </w:r>
    </w:p>
    <w:p w:rsidR="003E300B" w:rsidRPr="005769A0" w:rsidRDefault="003E300B" w:rsidP="003E300B">
      <w:pPr>
        <w:ind w:firstLine="851"/>
        <w:jc w:val="both"/>
        <w:rPr>
          <w:rFonts w:ascii="Arial" w:hAnsi="Arial" w:cs="Arial"/>
          <w:sz w:val="24"/>
          <w:szCs w:val="24"/>
        </w:rPr>
      </w:pPr>
    </w:p>
    <w:p w:rsidR="005769A0" w:rsidRDefault="003E300B" w:rsidP="003E300B">
      <w:pPr>
        <w:ind w:firstLine="851"/>
        <w:jc w:val="both"/>
        <w:rPr>
          <w:rFonts w:ascii="Arial" w:hAnsi="Arial" w:cs="Arial"/>
          <w:sz w:val="24"/>
          <w:szCs w:val="24"/>
        </w:rPr>
      </w:pPr>
      <w:r w:rsidRPr="005769A0">
        <w:rPr>
          <w:rFonts w:ascii="Arial" w:hAnsi="Arial" w:cs="Arial"/>
          <w:sz w:val="24"/>
          <w:szCs w:val="24"/>
        </w:rPr>
        <w:tab/>
      </w: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lastRenderedPageBreak/>
        <w:t>Art. 66. Fica autorizada a retificação e republicação da Lei Orçamentária e dos Créditos Adicionais, nos casos de inexatidões formais.</w:t>
      </w: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b/>
        <w:t>Parágrafo único.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rsidR="003E300B" w:rsidRPr="005769A0" w:rsidRDefault="003E300B"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5769A0" w:rsidRDefault="005769A0" w:rsidP="003E300B">
      <w:pPr>
        <w:ind w:firstLine="851"/>
        <w:jc w:val="both"/>
        <w:rPr>
          <w:rFonts w:ascii="Arial" w:hAnsi="Arial" w:cs="Arial"/>
          <w:sz w:val="24"/>
          <w:szCs w:val="24"/>
        </w:rPr>
      </w:pPr>
    </w:p>
    <w:p w:rsidR="003E300B" w:rsidRPr="005769A0" w:rsidRDefault="003E300B" w:rsidP="003E300B">
      <w:pPr>
        <w:ind w:firstLine="851"/>
        <w:jc w:val="both"/>
        <w:rPr>
          <w:rFonts w:ascii="Arial" w:hAnsi="Arial" w:cs="Arial"/>
          <w:sz w:val="24"/>
          <w:szCs w:val="24"/>
        </w:rPr>
      </w:pPr>
      <w:r w:rsidRPr="005769A0">
        <w:rPr>
          <w:rFonts w:ascii="Arial" w:hAnsi="Arial" w:cs="Arial"/>
          <w:sz w:val="24"/>
          <w:szCs w:val="24"/>
        </w:rPr>
        <w:t>Art. 67. Esta Lei entra em vigor na data de sua publicação.</w:t>
      </w:r>
    </w:p>
    <w:p w:rsidR="004B06F7" w:rsidRPr="005769A0" w:rsidRDefault="004B06F7" w:rsidP="003E300B">
      <w:pPr>
        <w:ind w:firstLine="851"/>
        <w:rPr>
          <w:rFonts w:ascii="Arial" w:hAnsi="Arial" w:cs="Arial"/>
          <w:sz w:val="24"/>
          <w:szCs w:val="24"/>
        </w:rPr>
      </w:pPr>
    </w:p>
    <w:p w:rsidR="004E4D72" w:rsidRPr="005769A0" w:rsidRDefault="004E4D72" w:rsidP="003E300B">
      <w:pPr>
        <w:ind w:firstLine="851"/>
        <w:rPr>
          <w:rFonts w:ascii="Arial" w:hAnsi="Arial" w:cs="Arial"/>
          <w:sz w:val="24"/>
          <w:szCs w:val="24"/>
        </w:rPr>
      </w:pPr>
      <w:r w:rsidRPr="005769A0">
        <w:rPr>
          <w:rFonts w:ascii="Arial" w:hAnsi="Arial" w:cs="Arial"/>
          <w:sz w:val="24"/>
          <w:szCs w:val="24"/>
        </w:rPr>
        <w:t xml:space="preserve">Gabinete do Prefeito de Santa Margarida do Sul, </w:t>
      </w:r>
      <w:r w:rsidR="007D641B" w:rsidRPr="005769A0">
        <w:rPr>
          <w:rFonts w:ascii="Arial" w:hAnsi="Arial" w:cs="Arial"/>
          <w:sz w:val="24"/>
          <w:szCs w:val="24"/>
        </w:rPr>
        <w:t>2</w:t>
      </w:r>
      <w:r w:rsidR="00C0075B">
        <w:rPr>
          <w:rFonts w:ascii="Arial" w:hAnsi="Arial" w:cs="Arial"/>
          <w:sz w:val="24"/>
          <w:szCs w:val="24"/>
        </w:rPr>
        <w:t>3</w:t>
      </w:r>
      <w:r w:rsidR="001856EB" w:rsidRPr="005769A0">
        <w:rPr>
          <w:rFonts w:ascii="Arial" w:hAnsi="Arial" w:cs="Arial"/>
          <w:sz w:val="24"/>
          <w:szCs w:val="24"/>
        </w:rPr>
        <w:t xml:space="preserve">de </w:t>
      </w:r>
      <w:r w:rsidR="00C0075B">
        <w:rPr>
          <w:rFonts w:ascii="Arial" w:hAnsi="Arial" w:cs="Arial"/>
          <w:sz w:val="24"/>
          <w:szCs w:val="24"/>
        </w:rPr>
        <w:t>outubro</w:t>
      </w:r>
      <w:r w:rsidRPr="005769A0">
        <w:rPr>
          <w:rFonts w:ascii="Arial" w:hAnsi="Arial" w:cs="Arial"/>
          <w:sz w:val="24"/>
          <w:szCs w:val="24"/>
        </w:rPr>
        <w:t xml:space="preserve"> de 2024.</w:t>
      </w:r>
    </w:p>
    <w:p w:rsidR="004E4D72" w:rsidRPr="005769A0" w:rsidRDefault="004E4D72" w:rsidP="003E300B">
      <w:pPr>
        <w:pStyle w:val="Recuodecorpodetexto"/>
        <w:ind w:left="0" w:firstLine="851"/>
        <w:jc w:val="both"/>
        <w:rPr>
          <w:rFonts w:ascii="Arial" w:hAnsi="Arial" w:cs="Arial"/>
        </w:rPr>
      </w:pPr>
    </w:p>
    <w:p w:rsidR="006B1062" w:rsidRPr="005769A0" w:rsidRDefault="006B1062" w:rsidP="003E300B">
      <w:pPr>
        <w:ind w:firstLine="851"/>
        <w:rPr>
          <w:rFonts w:ascii="Arial" w:hAnsi="Arial" w:cs="Arial"/>
          <w:sz w:val="24"/>
          <w:szCs w:val="24"/>
        </w:rPr>
      </w:pPr>
    </w:p>
    <w:p w:rsidR="004E4D72" w:rsidRPr="005769A0" w:rsidRDefault="004E4D72" w:rsidP="003E300B">
      <w:pPr>
        <w:ind w:firstLine="851"/>
        <w:rPr>
          <w:rFonts w:ascii="Arial" w:hAnsi="Arial" w:cs="Arial"/>
          <w:sz w:val="24"/>
          <w:szCs w:val="24"/>
        </w:rPr>
      </w:pPr>
      <w:r w:rsidRPr="005769A0">
        <w:rPr>
          <w:rFonts w:ascii="Arial" w:hAnsi="Arial" w:cs="Arial"/>
          <w:sz w:val="24"/>
          <w:szCs w:val="24"/>
        </w:rPr>
        <w:t xml:space="preserve">Registre-se e Publique-se.                                                                                             </w:t>
      </w:r>
    </w:p>
    <w:p w:rsidR="004E4D72" w:rsidRPr="005769A0" w:rsidRDefault="004E4D72" w:rsidP="003E300B">
      <w:pPr>
        <w:pStyle w:val="Ttulo2"/>
        <w:ind w:firstLine="851"/>
        <w:rPr>
          <w:rFonts w:cs="Arial"/>
          <w:szCs w:val="24"/>
        </w:rPr>
      </w:pPr>
    </w:p>
    <w:p w:rsidR="001E00F8" w:rsidRPr="005769A0" w:rsidRDefault="001E00F8" w:rsidP="003E300B">
      <w:pPr>
        <w:pStyle w:val="Ttulo2"/>
        <w:ind w:firstLine="851"/>
        <w:rPr>
          <w:rFonts w:cs="Arial"/>
          <w:szCs w:val="24"/>
        </w:rPr>
      </w:pPr>
    </w:p>
    <w:p w:rsidR="002716F4" w:rsidRPr="005769A0" w:rsidRDefault="002716F4" w:rsidP="003E300B">
      <w:pPr>
        <w:pStyle w:val="Ttulo2"/>
        <w:ind w:firstLine="851"/>
        <w:rPr>
          <w:rFonts w:cs="Arial"/>
          <w:szCs w:val="24"/>
        </w:rPr>
      </w:pPr>
    </w:p>
    <w:p w:rsidR="004F399F" w:rsidRPr="005769A0" w:rsidRDefault="004F399F" w:rsidP="003E300B">
      <w:pPr>
        <w:pStyle w:val="Ttulo2"/>
        <w:ind w:firstLine="851"/>
        <w:rPr>
          <w:rFonts w:cs="Arial"/>
          <w:szCs w:val="24"/>
        </w:rPr>
      </w:pPr>
    </w:p>
    <w:p w:rsidR="004E4D72" w:rsidRPr="005769A0" w:rsidRDefault="004E4D72" w:rsidP="003E300B">
      <w:pPr>
        <w:pStyle w:val="Ttulo2"/>
        <w:ind w:firstLine="851"/>
        <w:rPr>
          <w:rFonts w:cs="Arial"/>
          <w:szCs w:val="24"/>
        </w:rPr>
      </w:pPr>
      <w:r w:rsidRPr="005769A0">
        <w:rPr>
          <w:rFonts w:cs="Arial"/>
          <w:szCs w:val="24"/>
        </w:rPr>
        <w:t>Olmiro Ricardo Saldanha Teixeira</w:t>
      </w:r>
    </w:p>
    <w:p w:rsidR="004E4D72" w:rsidRPr="005769A0" w:rsidRDefault="004E4D72" w:rsidP="003E300B">
      <w:pPr>
        <w:pStyle w:val="Ttulo2"/>
        <w:ind w:firstLine="851"/>
        <w:rPr>
          <w:rFonts w:cs="Arial"/>
          <w:szCs w:val="24"/>
        </w:rPr>
      </w:pPr>
      <w:r w:rsidRPr="005769A0">
        <w:rPr>
          <w:rFonts w:cs="Arial"/>
          <w:szCs w:val="24"/>
        </w:rPr>
        <w:t xml:space="preserve">                                                            Prefeito Municipal </w:t>
      </w:r>
    </w:p>
    <w:p w:rsidR="004E4D72" w:rsidRPr="005769A0" w:rsidRDefault="004E4D72" w:rsidP="003E300B">
      <w:pPr>
        <w:pStyle w:val="PargrafodaLista"/>
        <w:tabs>
          <w:tab w:val="left" w:pos="6855"/>
        </w:tabs>
        <w:ind w:firstLine="851"/>
        <w:jc w:val="center"/>
        <w:rPr>
          <w:rFonts w:ascii="Arial" w:hAnsi="Arial" w:cs="Arial"/>
        </w:rPr>
      </w:pPr>
    </w:p>
    <w:p w:rsidR="004F399F" w:rsidRPr="005769A0" w:rsidRDefault="004F399F" w:rsidP="003E300B">
      <w:pPr>
        <w:pStyle w:val="Ttulo2"/>
        <w:tabs>
          <w:tab w:val="left" w:pos="2127"/>
        </w:tabs>
        <w:ind w:firstLine="851"/>
        <w:jc w:val="left"/>
        <w:rPr>
          <w:rFonts w:cs="Arial"/>
          <w:szCs w:val="24"/>
        </w:rPr>
      </w:pPr>
    </w:p>
    <w:p w:rsidR="004F399F" w:rsidRPr="005769A0" w:rsidRDefault="004F399F" w:rsidP="003E300B">
      <w:pPr>
        <w:pStyle w:val="Ttulo2"/>
        <w:tabs>
          <w:tab w:val="left" w:pos="2127"/>
        </w:tabs>
        <w:ind w:firstLine="851"/>
        <w:jc w:val="left"/>
        <w:rPr>
          <w:rFonts w:cs="Arial"/>
          <w:szCs w:val="24"/>
        </w:rPr>
      </w:pPr>
    </w:p>
    <w:p w:rsidR="004E4D72" w:rsidRPr="005769A0" w:rsidRDefault="00B714CF" w:rsidP="003E300B">
      <w:pPr>
        <w:pStyle w:val="Ttulo2"/>
        <w:tabs>
          <w:tab w:val="left" w:pos="2127"/>
        </w:tabs>
        <w:ind w:firstLine="851"/>
        <w:jc w:val="left"/>
        <w:rPr>
          <w:rFonts w:cs="Arial"/>
          <w:szCs w:val="24"/>
        </w:rPr>
      </w:pPr>
      <w:r w:rsidRPr="005769A0">
        <w:rPr>
          <w:rFonts w:cs="Arial"/>
          <w:szCs w:val="24"/>
        </w:rPr>
        <w:t>Amélia Catarina de Oliveira Santiago</w:t>
      </w:r>
    </w:p>
    <w:p w:rsidR="007609D5" w:rsidRPr="005769A0" w:rsidRDefault="004E4D72" w:rsidP="003E300B">
      <w:pPr>
        <w:pStyle w:val="ndice"/>
        <w:ind w:firstLine="851"/>
        <w:rPr>
          <w:rFonts w:ascii="Arial" w:hAnsi="Arial"/>
          <w:sz w:val="24"/>
          <w:szCs w:val="24"/>
        </w:rPr>
      </w:pPr>
      <w:r w:rsidRPr="005769A0">
        <w:rPr>
          <w:rFonts w:ascii="Arial" w:hAnsi="Arial"/>
          <w:sz w:val="24"/>
          <w:szCs w:val="24"/>
        </w:rPr>
        <w:t xml:space="preserve">       Secretária Mun. de Adm. e Fazenda</w:t>
      </w:r>
    </w:p>
    <w:sectPr w:rsidR="007609D5" w:rsidRPr="005769A0" w:rsidSect="00E6478C">
      <w:headerReference w:type="default" r:id="rId7"/>
      <w:pgSz w:w="11906" w:h="16838"/>
      <w:pgMar w:top="2269" w:right="707"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FEA" w:rsidRDefault="002C3FEA" w:rsidP="000F56BF">
      <w:r>
        <w:separator/>
      </w:r>
    </w:p>
  </w:endnote>
  <w:endnote w:type="continuationSeparator" w:id="1">
    <w:p w:rsidR="002C3FEA" w:rsidRDefault="002C3FEA" w:rsidP="000F56B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iberationSans">
    <w:altName w:val="Times New Roman"/>
    <w:panose1 w:val="00000000000000000000"/>
    <w:charset w:val="00"/>
    <w:family w:val="roman"/>
    <w:notTrueType/>
    <w:pitch w:val="default"/>
    <w:sig w:usb0="00000000" w:usb1="00000000" w:usb2="00000000" w:usb3="00000000" w:csb0="00000000" w:csb1="00000000"/>
  </w:font>
  <w:font w:name="LiberationSans-Bold">
    <w:altName w:val="Times New Roman"/>
    <w:panose1 w:val="00000000000000000000"/>
    <w:charset w:val="0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FEA" w:rsidRDefault="002C3FEA" w:rsidP="000F56BF">
      <w:r>
        <w:separator/>
      </w:r>
    </w:p>
  </w:footnote>
  <w:footnote w:type="continuationSeparator" w:id="1">
    <w:p w:rsidR="002C3FEA" w:rsidRDefault="002C3FEA" w:rsidP="000F56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07A" w:rsidRDefault="005D71A9" w:rsidP="005D71A9">
    <w:pPr>
      <w:pStyle w:val="Cabealho"/>
      <w:jc w:val="center"/>
      <w:rPr>
        <w:rFonts w:asciiTheme="majorHAnsi" w:hAnsiTheme="majorHAnsi" w:cstheme="majorHAnsi"/>
        <w:b/>
        <w:bCs/>
        <w:sz w:val="32"/>
        <w:szCs w:val="32"/>
      </w:rPr>
    </w:pPr>
    <w:r w:rsidRPr="00A57328">
      <w:rPr>
        <w:rFonts w:asciiTheme="majorHAnsi" w:hAnsiTheme="majorHAnsi" w:cstheme="majorHAnsi"/>
        <w:noProof/>
        <w:sz w:val="32"/>
        <w:szCs w:val="32"/>
      </w:rPr>
      <w:drawing>
        <wp:anchor distT="0" distB="0" distL="114300" distR="114300" simplePos="0" relativeHeight="251659264" behindDoc="0" locked="0" layoutInCell="1" allowOverlap="1">
          <wp:simplePos x="0" y="0"/>
          <wp:positionH relativeFrom="column">
            <wp:posOffset>-259715</wp:posOffset>
          </wp:positionH>
          <wp:positionV relativeFrom="paragraph">
            <wp:posOffset>7620</wp:posOffset>
          </wp:positionV>
          <wp:extent cx="1038225" cy="1028567"/>
          <wp:effectExtent l="0" t="0" r="0" b="635"/>
          <wp:wrapSquare wrapText="bothSides"/>
          <wp:docPr id="60660591" name="Imagem 60660591" descr="Visualização d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ualização da image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028567"/>
                  </a:xfrm>
                  <a:prstGeom prst="rect">
                    <a:avLst/>
                  </a:prstGeom>
                  <a:noFill/>
                  <a:ln>
                    <a:noFill/>
                  </a:ln>
                </pic:spPr>
              </pic:pic>
            </a:graphicData>
          </a:graphic>
        </wp:anchor>
      </w:drawing>
    </w:r>
    <w:r w:rsidRPr="00A57328">
      <w:rPr>
        <w:rFonts w:asciiTheme="majorHAnsi" w:hAnsiTheme="majorHAnsi" w:cstheme="majorHAnsi"/>
        <w:b/>
        <w:bCs/>
        <w:sz w:val="32"/>
        <w:szCs w:val="32"/>
      </w:rPr>
      <w:t xml:space="preserve">PREFEITURA MUNICIPAL DE SANTA MARGARIDA </w:t>
    </w:r>
  </w:p>
  <w:p w:rsidR="005D71A9" w:rsidRPr="00A57328" w:rsidRDefault="005D71A9" w:rsidP="005D71A9">
    <w:pPr>
      <w:pStyle w:val="Cabealho"/>
      <w:jc w:val="center"/>
      <w:rPr>
        <w:rFonts w:asciiTheme="majorHAnsi" w:hAnsiTheme="majorHAnsi" w:cstheme="majorHAnsi"/>
        <w:b/>
        <w:bCs/>
        <w:sz w:val="32"/>
        <w:szCs w:val="32"/>
      </w:rPr>
    </w:pPr>
    <w:r w:rsidRPr="00A57328">
      <w:rPr>
        <w:rFonts w:asciiTheme="majorHAnsi" w:hAnsiTheme="majorHAnsi" w:cstheme="majorHAnsi"/>
        <w:b/>
        <w:bCs/>
        <w:sz w:val="32"/>
        <w:szCs w:val="32"/>
      </w:rPr>
      <w:t>DO SUL</w:t>
    </w:r>
  </w:p>
  <w:p w:rsidR="005D71A9" w:rsidRPr="00A57328" w:rsidRDefault="005D71A9" w:rsidP="005D71A9">
    <w:pPr>
      <w:pStyle w:val="Cabealho"/>
      <w:ind w:hanging="1134"/>
      <w:jc w:val="center"/>
      <w:rPr>
        <w:sz w:val="24"/>
        <w:szCs w:val="24"/>
      </w:rPr>
    </w:pPr>
    <w:r w:rsidRPr="00A57328">
      <w:rPr>
        <w:sz w:val="24"/>
        <w:szCs w:val="24"/>
      </w:rPr>
      <w:t>Avenida 17 de Abril, 503 – Bairro Residencial Santa Margarida</w:t>
    </w:r>
  </w:p>
  <w:p w:rsidR="005D71A9" w:rsidRPr="00A57328" w:rsidRDefault="005D71A9" w:rsidP="005D71A9">
    <w:pPr>
      <w:pStyle w:val="Cabealho"/>
      <w:ind w:hanging="1134"/>
      <w:jc w:val="center"/>
      <w:rPr>
        <w:sz w:val="24"/>
        <w:szCs w:val="24"/>
      </w:rPr>
    </w:pPr>
    <w:r w:rsidRPr="00A57328">
      <w:rPr>
        <w:sz w:val="24"/>
        <w:szCs w:val="24"/>
      </w:rPr>
      <w:t xml:space="preserve">Fones: (55) </w:t>
    </w:r>
    <w:r w:rsidR="003E300B">
      <w:rPr>
        <w:sz w:val="24"/>
        <w:szCs w:val="24"/>
      </w:rPr>
      <w:t>9999</w:t>
    </w:r>
    <w:r w:rsidR="00A40457">
      <w:rPr>
        <w:sz w:val="24"/>
        <w:szCs w:val="24"/>
      </w:rPr>
      <w:t>2</w:t>
    </w:r>
    <w:r w:rsidR="003E300B">
      <w:rPr>
        <w:sz w:val="24"/>
        <w:szCs w:val="24"/>
      </w:rPr>
      <w:t>-3066</w:t>
    </w:r>
  </w:p>
  <w:p w:rsidR="005D71A9" w:rsidRPr="00A57328" w:rsidRDefault="005D71A9" w:rsidP="005D71A9">
    <w:pPr>
      <w:pStyle w:val="Cabealho"/>
      <w:ind w:hanging="1134"/>
      <w:jc w:val="center"/>
      <w:rPr>
        <w:sz w:val="24"/>
        <w:szCs w:val="24"/>
      </w:rPr>
    </w:pPr>
    <w:r w:rsidRPr="00A57328">
      <w:rPr>
        <w:sz w:val="24"/>
        <w:szCs w:val="24"/>
      </w:rPr>
      <w:t>Santa Margarida do Sul-RS</w:t>
    </w:r>
  </w:p>
  <w:p w:rsidR="005D71A9" w:rsidRPr="00A57328" w:rsidRDefault="005D71A9" w:rsidP="005D71A9">
    <w:pPr>
      <w:pStyle w:val="Cabealho"/>
      <w:ind w:hanging="1134"/>
      <w:jc w:val="center"/>
      <w:rPr>
        <w:sz w:val="24"/>
        <w:szCs w:val="24"/>
      </w:rPr>
    </w:pPr>
    <w:r w:rsidRPr="00A57328">
      <w:rPr>
        <w:sz w:val="24"/>
        <w:szCs w:val="24"/>
      </w:rPr>
      <w:t>CEP 97.335-000</w:t>
    </w:r>
  </w:p>
  <w:p w:rsidR="005D71A9" w:rsidRDefault="005D71A9" w:rsidP="005D71A9">
    <w:pPr>
      <w:pStyle w:val="Cabealho"/>
      <w:jc w:val="center"/>
    </w:pPr>
  </w:p>
  <w:p w:rsidR="005D71A9" w:rsidRDefault="005D71A9" w:rsidP="005D71A9">
    <w:pPr>
      <w:pStyle w:val="Cabealho"/>
    </w:pPr>
  </w:p>
  <w:p w:rsidR="005D71A9" w:rsidRDefault="005D71A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6434B9"/>
    <w:rsid w:val="00001040"/>
    <w:rsid w:val="000014D9"/>
    <w:rsid w:val="00007C7B"/>
    <w:rsid w:val="0001005A"/>
    <w:rsid w:val="00011339"/>
    <w:rsid w:val="0001351E"/>
    <w:rsid w:val="000138EA"/>
    <w:rsid w:val="0001549B"/>
    <w:rsid w:val="00016106"/>
    <w:rsid w:val="00017469"/>
    <w:rsid w:val="00026DE4"/>
    <w:rsid w:val="000302D4"/>
    <w:rsid w:val="00031F07"/>
    <w:rsid w:val="00034B2E"/>
    <w:rsid w:val="0003504B"/>
    <w:rsid w:val="0003608F"/>
    <w:rsid w:val="00042D9A"/>
    <w:rsid w:val="00055EAE"/>
    <w:rsid w:val="00057728"/>
    <w:rsid w:val="00071A8A"/>
    <w:rsid w:val="00074EF8"/>
    <w:rsid w:val="00075D30"/>
    <w:rsid w:val="0008147B"/>
    <w:rsid w:val="00086421"/>
    <w:rsid w:val="00093E8F"/>
    <w:rsid w:val="000962A3"/>
    <w:rsid w:val="00097A2B"/>
    <w:rsid w:val="000A0242"/>
    <w:rsid w:val="000A65CD"/>
    <w:rsid w:val="000B02B2"/>
    <w:rsid w:val="000B4658"/>
    <w:rsid w:val="000B6F07"/>
    <w:rsid w:val="000B7778"/>
    <w:rsid w:val="000B7F28"/>
    <w:rsid w:val="000C01DB"/>
    <w:rsid w:val="000C3524"/>
    <w:rsid w:val="000C401C"/>
    <w:rsid w:val="000D2913"/>
    <w:rsid w:val="000D5B82"/>
    <w:rsid w:val="000E1921"/>
    <w:rsid w:val="000E2058"/>
    <w:rsid w:val="000E528E"/>
    <w:rsid w:val="000E7CB7"/>
    <w:rsid w:val="000F0179"/>
    <w:rsid w:val="000F1DFD"/>
    <w:rsid w:val="000F2D9A"/>
    <w:rsid w:val="000F3799"/>
    <w:rsid w:val="000F56BF"/>
    <w:rsid w:val="000F777C"/>
    <w:rsid w:val="001111E8"/>
    <w:rsid w:val="00114DFE"/>
    <w:rsid w:val="00115E32"/>
    <w:rsid w:val="00121518"/>
    <w:rsid w:val="00126257"/>
    <w:rsid w:val="00126ED0"/>
    <w:rsid w:val="00130973"/>
    <w:rsid w:val="00135EC1"/>
    <w:rsid w:val="001377AF"/>
    <w:rsid w:val="00137A12"/>
    <w:rsid w:val="00141B54"/>
    <w:rsid w:val="00144CBA"/>
    <w:rsid w:val="001514E7"/>
    <w:rsid w:val="001563B5"/>
    <w:rsid w:val="00161A30"/>
    <w:rsid w:val="00163E80"/>
    <w:rsid w:val="00172436"/>
    <w:rsid w:val="001768D9"/>
    <w:rsid w:val="00180BEB"/>
    <w:rsid w:val="00180C2A"/>
    <w:rsid w:val="00184065"/>
    <w:rsid w:val="001856EB"/>
    <w:rsid w:val="00185915"/>
    <w:rsid w:val="00193445"/>
    <w:rsid w:val="00197289"/>
    <w:rsid w:val="001A04EA"/>
    <w:rsid w:val="001A5B8B"/>
    <w:rsid w:val="001B29E1"/>
    <w:rsid w:val="001D19AC"/>
    <w:rsid w:val="001D3246"/>
    <w:rsid w:val="001E00F8"/>
    <w:rsid w:val="001E0476"/>
    <w:rsid w:val="001E7018"/>
    <w:rsid w:val="001E7573"/>
    <w:rsid w:val="001F4309"/>
    <w:rsid w:val="00200CE3"/>
    <w:rsid w:val="002070FE"/>
    <w:rsid w:val="00211DB8"/>
    <w:rsid w:val="00212B9B"/>
    <w:rsid w:val="00214511"/>
    <w:rsid w:val="00216FD4"/>
    <w:rsid w:val="002202BE"/>
    <w:rsid w:val="00222D4D"/>
    <w:rsid w:val="00223E08"/>
    <w:rsid w:val="0023132B"/>
    <w:rsid w:val="00233071"/>
    <w:rsid w:val="00234CC7"/>
    <w:rsid w:val="002422BC"/>
    <w:rsid w:val="002508ED"/>
    <w:rsid w:val="00255CB4"/>
    <w:rsid w:val="00262E27"/>
    <w:rsid w:val="002647F3"/>
    <w:rsid w:val="00264F1C"/>
    <w:rsid w:val="002716F4"/>
    <w:rsid w:val="00271D36"/>
    <w:rsid w:val="00275926"/>
    <w:rsid w:val="00276FAF"/>
    <w:rsid w:val="00281B63"/>
    <w:rsid w:val="002973A3"/>
    <w:rsid w:val="002A1B49"/>
    <w:rsid w:val="002A4425"/>
    <w:rsid w:val="002A5C78"/>
    <w:rsid w:val="002B030B"/>
    <w:rsid w:val="002B40AD"/>
    <w:rsid w:val="002B4E39"/>
    <w:rsid w:val="002C0986"/>
    <w:rsid w:val="002C0E1A"/>
    <w:rsid w:val="002C3FEA"/>
    <w:rsid w:val="002D4A9D"/>
    <w:rsid w:val="002D5330"/>
    <w:rsid w:val="002E23AC"/>
    <w:rsid w:val="002E3F9B"/>
    <w:rsid w:val="002E492C"/>
    <w:rsid w:val="002F213C"/>
    <w:rsid w:val="002F5039"/>
    <w:rsid w:val="002F57A2"/>
    <w:rsid w:val="002F62A1"/>
    <w:rsid w:val="002F6944"/>
    <w:rsid w:val="003074B9"/>
    <w:rsid w:val="003074E7"/>
    <w:rsid w:val="003178CA"/>
    <w:rsid w:val="0032139E"/>
    <w:rsid w:val="00324436"/>
    <w:rsid w:val="003335D0"/>
    <w:rsid w:val="00333730"/>
    <w:rsid w:val="00337960"/>
    <w:rsid w:val="00337C45"/>
    <w:rsid w:val="0034526F"/>
    <w:rsid w:val="00347B35"/>
    <w:rsid w:val="003530C9"/>
    <w:rsid w:val="00355046"/>
    <w:rsid w:val="0035597B"/>
    <w:rsid w:val="00360A52"/>
    <w:rsid w:val="00365AA0"/>
    <w:rsid w:val="00366E9E"/>
    <w:rsid w:val="003721EE"/>
    <w:rsid w:val="00372ED5"/>
    <w:rsid w:val="003752F1"/>
    <w:rsid w:val="003774C3"/>
    <w:rsid w:val="003A25DA"/>
    <w:rsid w:val="003B6BEF"/>
    <w:rsid w:val="003C468A"/>
    <w:rsid w:val="003C5B48"/>
    <w:rsid w:val="003D0A6F"/>
    <w:rsid w:val="003D2F16"/>
    <w:rsid w:val="003D70BB"/>
    <w:rsid w:val="003E22F7"/>
    <w:rsid w:val="003E300B"/>
    <w:rsid w:val="003F027A"/>
    <w:rsid w:val="004035D3"/>
    <w:rsid w:val="00410A60"/>
    <w:rsid w:val="00421427"/>
    <w:rsid w:val="00426229"/>
    <w:rsid w:val="00426C28"/>
    <w:rsid w:val="004360F0"/>
    <w:rsid w:val="00437915"/>
    <w:rsid w:val="00440867"/>
    <w:rsid w:val="004409DA"/>
    <w:rsid w:val="004454FE"/>
    <w:rsid w:val="0044645D"/>
    <w:rsid w:val="00455414"/>
    <w:rsid w:val="00462C8F"/>
    <w:rsid w:val="00463D9F"/>
    <w:rsid w:val="00466345"/>
    <w:rsid w:val="00471B5F"/>
    <w:rsid w:val="00496D4F"/>
    <w:rsid w:val="004A2A69"/>
    <w:rsid w:val="004A2C22"/>
    <w:rsid w:val="004A51C7"/>
    <w:rsid w:val="004B0438"/>
    <w:rsid w:val="004B06F7"/>
    <w:rsid w:val="004B37FD"/>
    <w:rsid w:val="004B7C69"/>
    <w:rsid w:val="004C003F"/>
    <w:rsid w:val="004C3234"/>
    <w:rsid w:val="004C5BE4"/>
    <w:rsid w:val="004D1C96"/>
    <w:rsid w:val="004D36BF"/>
    <w:rsid w:val="004D652C"/>
    <w:rsid w:val="004D6D6D"/>
    <w:rsid w:val="004D7475"/>
    <w:rsid w:val="004E031D"/>
    <w:rsid w:val="004E066D"/>
    <w:rsid w:val="004E1260"/>
    <w:rsid w:val="004E19F5"/>
    <w:rsid w:val="004E4B7C"/>
    <w:rsid w:val="004E4D72"/>
    <w:rsid w:val="004E53F6"/>
    <w:rsid w:val="004F0F02"/>
    <w:rsid w:val="004F399F"/>
    <w:rsid w:val="005168F3"/>
    <w:rsid w:val="00520FEE"/>
    <w:rsid w:val="00522D34"/>
    <w:rsid w:val="0052422F"/>
    <w:rsid w:val="005346DE"/>
    <w:rsid w:val="00535A2B"/>
    <w:rsid w:val="00543149"/>
    <w:rsid w:val="005448D8"/>
    <w:rsid w:val="0056134C"/>
    <w:rsid w:val="005736DF"/>
    <w:rsid w:val="005769A0"/>
    <w:rsid w:val="0058284D"/>
    <w:rsid w:val="00590BDF"/>
    <w:rsid w:val="00596D97"/>
    <w:rsid w:val="005A70DA"/>
    <w:rsid w:val="005B2A79"/>
    <w:rsid w:val="005B6766"/>
    <w:rsid w:val="005D2276"/>
    <w:rsid w:val="005D304F"/>
    <w:rsid w:val="005D5518"/>
    <w:rsid w:val="005D5D17"/>
    <w:rsid w:val="005D71A9"/>
    <w:rsid w:val="005D77E8"/>
    <w:rsid w:val="005E01A9"/>
    <w:rsid w:val="005E12E2"/>
    <w:rsid w:val="005E7C59"/>
    <w:rsid w:val="005F2556"/>
    <w:rsid w:val="005F36BA"/>
    <w:rsid w:val="005F5A09"/>
    <w:rsid w:val="005F65C3"/>
    <w:rsid w:val="00600633"/>
    <w:rsid w:val="0060285F"/>
    <w:rsid w:val="00616D7A"/>
    <w:rsid w:val="00616F18"/>
    <w:rsid w:val="0062052C"/>
    <w:rsid w:val="006307B3"/>
    <w:rsid w:val="00631C08"/>
    <w:rsid w:val="00634A9A"/>
    <w:rsid w:val="0063668C"/>
    <w:rsid w:val="00637950"/>
    <w:rsid w:val="006434B9"/>
    <w:rsid w:val="006444CC"/>
    <w:rsid w:val="0064778F"/>
    <w:rsid w:val="006504AA"/>
    <w:rsid w:val="00650CFF"/>
    <w:rsid w:val="00656723"/>
    <w:rsid w:val="00682050"/>
    <w:rsid w:val="00695838"/>
    <w:rsid w:val="006A6556"/>
    <w:rsid w:val="006B0EC6"/>
    <w:rsid w:val="006B1062"/>
    <w:rsid w:val="006B1B79"/>
    <w:rsid w:val="006B1D4D"/>
    <w:rsid w:val="006B2E80"/>
    <w:rsid w:val="006C308A"/>
    <w:rsid w:val="006C428C"/>
    <w:rsid w:val="006C4CC7"/>
    <w:rsid w:val="006D0F45"/>
    <w:rsid w:val="006D607D"/>
    <w:rsid w:val="006F4431"/>
    <w:rsid w:val="006F507A"/>
    <w:rsid w:val="00700660"/>
    <w:rsid w:val="00700B1A"/>
    <w:rsid w:val="00702002"/>
    <w:rsid w:val="00706060"/>
    <w:rsid w:val="007143E6"/>
    <w:rsid w:val="0071508C"/>
    <w:rsid w:val="00717829"/>
    <w:rsid w:val="00720A99"/>
    <w:rsid w:val="00731A5B"/>
    <w:rsid w:val="00741A53"/>
    <w:rsid w:val="00741A87"/>
    <w:rsid w:val="00745555"/>
    <w:rsid w:val="00750E91"/>
    <w:rsid w:val="00750EC0"/>
    <w:rsid w:val="007511B6"/>
    <w:rsid w:val="00751C7B"/>
    <w:rsid w:val="007609D5"/>
    <w:rsid w:val="00767E69"/>
    <w:rsid w:val="007721ED"/>
    <w:rsid w:val="007747FB"/>
    <w:rsid w:val="007778A2"/>
    <w:rsid w:val="00784E9A"/>
    <w:rsid w:val="00786DA3"/>
    <w:rsid w:val="00791D15"/>
    <w:rsid w:val="00793BA5"/>
    <w:rsid w:val="00794E6A"/>
    <w:rsid w:val="007A44BB"/>
    <w:rsid w:val="007A4ADB"/>
    <w:rsid w:val="007A7E1D"/>
    <w:rsid w:val="007C115D"/>
    <w:rsid w:val="007C150C"/>
    <w:rsid w:val="007C2344"/>
    <w:rsid w:val="007C351A"/>
    <w:rsid w:val="007C3C31"/>
    <w:rsid w:val="007C67C8"/>
    <w:rsid w:val="007D641B"/>
    <w:rsid w:val="007E12E9"/>
    <w:rsid w:val="007E2EC0"/>
    <w:rsid w:val="007E2F3E"/>
    <w:rsid w:val="007F1CCD"/>
    <w:rsid w:val="007F4DC3"/>
    <w:rsid w:val="0080310F"/>
    <w:rsid w:val="00806E99"/>
    <w:rsid w:val="0080732D"/>
    <w:rsid w:val="00810BCF"/>
    <w:rsid w:val="00815107"/>
    <w:rsid w:val="0081775E"/>
    <w:rsid w:val="00827796"/>
    <w:rsid w:val="008326B7"/>
    <w:rsid w:val="00832972"/>
    <w:rsid w:val="00834FCA"/>
    <w:rsid w:val="0083573E"/>
    <w:rsid w:val="00836747"/>
    <w:rsid w:val="00842B23"/>
    <w:rsid w:val="008532F9"/>
    <w:rsid w:val="0087718B"/>
    <w:rsid w:val="00877BD8"/>
    <w:rsid w:val="00881258"/>
    <w:rsid w:val="00882F4D"/>
    <w:rsid w:val="00884DC0"/>
    <w:rsid w:val="008929E0"/>
    <w:rsid w:val="008A1324"/>
    <w:rsid w:val="008A55E3"/>
    <w:rsid w:val="008A60CA"/>
    <w:rsid w:val="008A66BB"/>
    <w:rsid w:val="008B3250"/>
    <w:rsid w:val="008B712D"/>
    <w:rsid w:val="008D0646"/>
    <w:rsid w:val="008D7F92"/>
    <w:rsid w:val="008E357D"/>
    <w:rsid w:val="008E64A6"/>
    <w:rsid w:val="008E6EC9"/>
    <w:rsid w:val="008F6C78"/>
    <w:rsid w:val="00902B24"/>
    <w:rsid w:val="00902D12"/>
    <w:rsid w:val="009045D1"/>
    <w:rsid w:val="00910E54"/>
    <w:rsid w:val="00912964"/>
    <w:rsid w:val="00920308"/>
    <w:rsid w:val="00931693"/>
    <w:rsid w:val="00932DC7"/>
    <w:rsid w:val="00940515"/>
    <w:rsid w:val="00940CC0"/>
    <w:rsid w:val="009443E8"/>
    <w:rsid w:val="00945258"/>
    <w:rsid w:val="00955883"/>
    <w:rsid w:val="009567A6"/>
    <w:rsid w:val="00961907"/>
    <w:rsid w:val="00963DB8"/>
    <w:rsid w:val="00964440"/>
    <w:rsid w:val="00966D1C"/>
    <w:rsid w:val="009706A1"/>
    <w:rsid w:val="009711A7"/>
    <w:rsid w:val="00976D58"/>
    <w:rsid w:val="00977FCE"/>
    <w:rsid w:val="0098706E"/>
    <w:rsid w:val="00987B34"/>
    <w:rsid w:val="00990309"/>
    <w:rsid w:val="00995925"/>
    <w:rsid w:val="009A0269"/>
    <w:rsid w:val="009A1D47"/>
    <w:rsid w:val="009A35D7"/>
    <w:rsid w:val="009B0619"/>
    <w:rsid w:val="009B61CC"/>
    <w:rsid w:val="009B7E38"/>
    <w:rsid w:val="009C6D29"/>
    <w:rsid w:val="009C7340"/>
    <w:rsid w:val="009D0B64"/>
    <w:rsid w:val="009D5546"/>
    <w:rsid w:val="009D7BBB"/>
    <w:rsid w:val="009E10FE"/>
    <w:rsid w:val="009E574F"/>
    <w:rsid w:val="009F44CC"/>
    <w:rsid w:val="009F4E5B"/>
    <w:rsid w:val="009F58A4"/>
    <w:rsid w:val="00A01241"/>
    <w:rsid w:val="00A023CF"/>
    <w:rsid w:val="00A06F93"/>
    <w:rsid w:val="00A15140"/>
    <w:rsid w:val="00A30C8D"/>
    <w:rsid w:val="00A33177"/>
    <w:rsid w:val="00A40457"/>
    <w:rsid w:val="00A44D30"/>
    <w:rsid w:val="00A51856"/>
    <w:rsid w:val="00A51FE7"/>
    <w:rsid w:val="00A572D8"/>
    <w:rsid w:val="00A6146C"/>
    <w:rsid w:val="00A61BD0"/>
    <w:rsid w:val="00A70BDF"/>
    <w:rsid w:val="00A71633"/>
    <w:rsid w:val="00A741AC"/>
    <w:rsid w:val="00A768E3"/>
    <w:rsid w:val="00A76B92"/>
    <w:rsid w:val="00A8347C"/>
    <w:rsid w:val="00A9144D"/>
    <w:rsid w:val="00A9678E"/>
    <w:rsid w:val="00AA3D1D"/>
    <w:rsid w:val="00AB2DB1"/>
    <w:rsid w:val="00AB3358"/>
    <w:rsid w:val="00AB4FFE"/>
    <w:rsid w:val="00AC6DA1"/>
    <w:rsid w:val="00AC7B25"/>
    <w:rsid w:val="00AD0A1D"/>
    <w:rsid w:val="00AD23D7"/>
    <w:rsid w:val="00AD374F"/>
    <w:rsid w:val="00AE0530"/>
    <w:rsid w:val="00AE27F4"/>
    <w:rsid w:val="00AE612E"/>
    <w:rsid w:val="00AE6139"/>
    <w:rsid w:val="00AF12F7"/>
    <w:rsid w:val="00AF38C8"/>
    <w:rsid w:val="00B01198"/>
    <w:rsid w:val="00B05D28"/>
    <w:rsid w:val="00B101D2"/>
    <w:rsid w:val="00B10ECA"/>
    <w:rsid w:val="00B11123"/>
    <w:rsid w:val="00B11F34"/>
    <w:rsid w:val="00B149FD"/>
    <w:rsid w:val="00B14ACB"/>
    <w:rsid w:val="00B20F05"/>
    <w:rsid w:val="00B30967"/>
    <w:rsid w:val="00B310C3"/>
    <w:rsid w:val="00B32EAB"/>
    <w:rsid w:val="00B337E0"/>
    <w:rsid w:val="00B345B8"/>
    <w:rsid w:val="00B367CF"/>
    <w:rsid w:val="00B44D95"/>
    <w:rsid w:val="00B55F8F"/>
    <w:rsid w:val="00B5630C"/>
    <w:rsid w:val="00B566B8"/>
    <w:rsid w:val="00B61A01"/>
    <w:rsid w:val="00B65074"/>
    <w:rsid w:val="00B714CF"/>
    <w:rsid w:val="00B87075"/>
    <w:rsid w:val="00B9754B"/>
    <w:rsid w:val="00BA4090"/>
    <w:rsid w:val="00BA436D"/>
    <w:rsid w:val="00BA5C9E"/>
    <w:rsid w:val="00BA641F"/>
    <w:rsid w:val="00BB1244"/>
    <w:rsid w:val="00BC6C70"/>
    <w:rsid w:val="00BD075E"/>
    <w:rsid w:val="00BE0090"/>
    <w:rsid w:val="00BE1678"/>
    <w:rsid w:val="00BE3769"/>
    <w:rsid w:val="00BE5B4C"/>
    <w:rsid w:val="00BE5C85"/>
    <w:rsid w:val="00BF0468"/>
    <w:rsid w:val="00BF0596"/>
    <w:rsid w:val="00BF59ED"/>
    <w:rsid w:val="00C0075B"/>
    <w:rsid w:val="00C07C41"/>
    <w:rsid w:val="00C10019"/>
    <w:rsid w:val="00C12249"/>
    <w:rsid w:val="00C1327E"/>
    <w:rsid w:val="00C17E1C"/>
    <w:rsid w:val="00C213A4"/>
    <w:rsid w:val="00C264EC"/>
    <w:rsid w:val="00C27904"/>
    <w:rsid w:val="00C31318"/>
    <w:rsid w:val="00C36F5C"/>
    <w:rsid w:val="00C4209D"/>
    <w:rsid w:val="00C42388"/>
    <w:rsid w:val="00C44A83"/>
    <w:rsid w:val="00C5008A"/>
    <w:rsid w:val="00C52328"/>
    <w:rsid w:val="00C5298B"/>
    <w:rsid w:val="00C558F1"/>
    <w:rsid w:val="00C56DE3"/>
    <w:rsid w:val="00C5703F"/>
    <w:rsid w:val="00C6007E"/>
    <w:rsid w:val="00C60933"/>
    <w:rsid w:val="00C727B6"/>
    <w:rsid w:val="00C8295F"/>
    <w:rsid w:val="00C84DB8"/>
    <w:rsid w:val="00C853BD"/>
    <w:rsid w:val="00C86373"/>
    <w:rsid w:val="00C8676A"/>
    <w:rsid w:val="00C9083D"/>
    <w:rsid w:val="00C9277E"/>
    <w:rsid w:val="00C93369"/>
    <w:rsid w:val="00CA22E8"/>
    <w:rsid w:val="00CA679C"/>
    <w:rsid w:val="00CB3209"/>
    <w:rsid w:val="00CB42A3"/>
    <w:rsid w:val="00CB4698"/>
    <w:rsid w:val="00CB7790"/>
    <w:rsid w:val="00CC117D"/>
    <w:rsid w:val="00CC1B8B"/>
    <w:rsid w:val="00CC1DC8"/>
    <w:rsid w:val="00CD50D1"/>
    <w:rsid w:val="00CD5C4A"/>
    <w:rsid w:val="00CD61CD"/>
    <w:rsid w:val="00CD708E"/>
    <w:rsid w:val="00CE033B"/>
    <w:rsid w:val="00CE35E9"/>
    <w:rsid w:val="00CE7A92"/>
    <w:rsid w:val="00CF719F"/>
    <w:rsid w:val="00D003AE"/>
    <w:rsid w:val="00D02E4F"/>
    <w:rsid w:val="00D10027"/>
    <w:rsid w:val="00D141B8"/>
    <w:rsid w:val="00D20D43"/>
    <w:rsid w:val="00D21910"/>
    <w:rsid w:val="00D21F41"/>
    <w:rsid w:val="00D24BBE"/>
    <w:rsid w:val="00D3331C"/>
    <w:rsid w:val="00D33998"/>
    <w:rsid w:val="00D37E66"/>
    <w:rsid w:val="00D43832"/>
    <w:rsid w:val="00D43C3A"/>
    <w:rsid w:val="00D46B37"/>
    <w:rsid w:val="00D47B63"/>
    <w:rsid w:val="00D63974"/>
    <w:rsid w:val="00D91175"/>
    <w:rsid w:val="00D92FD1"/>
    <w:rsid w:val="00D94104"/>
    <w:rsid w:val="00D97245"/>
    <w:rsid w:val="00DA0E3B"/>
    <w:rsid w:val="00DA3FBB"/>
    <w:rsid w:val="00DB0072"/>
    <w:rsid w:val="00DB10E9"/>
    <w:rsid w:val="00DB41BF"/>
    <w:rsid w:val="00DB5B3D"/>
    <w:rsid w:val="00DC16C4"/>
    <w:rsid w:val="00DC319B"/>
    <w:rsid w:val="00DD6F57"/>
    <w:rsid w:val="00DE2EAE"/>
    <w:rsid w:val="00DE2EBE"/>
    <w:rsid w:val="00DE6258"/>
    <w:rsid w:val="00DF1622"/>
    <w:rsid w:val="00DF25EE"/>
    <w:rsid w:val="00DF2831"/>
    <w:rsid w:val="00E05333"/>
    <w:rsid w:val="00E14286"/>
    <w:rsid w:val="00E15928"/>
    <w:rsid w:val="00E1761F"/>
    <w:rsid w:val="00E21C3B"/>
    <w:rsid w:val="00E26601"/>
    <w:rsid w:val="00E26EE9"/>
    <w:rsid w:val="00E33111"/>
    <w:rsid w:val="00E331EE"/>
    <w:rsid w:val="00E400FD"/>
    <w:rsid w:val="00E410FB"/>
    <w:rsid w:val="00E45526"/>
    <w:rsid w:val="00E61610"/>
    <w:rsid w:val="00E62B4A"/>
    <w:rsid w:val="00E6478C"/>
    <w:rsid w:val="00E718F9"/>
    <w:rsid w:val="00E73B1F"/>
    <w:rsid w:val="00E73F89"/>
    <w:rsid w:val="00E74E27"/>
    <w:rsid w:val="00E74FF6"/>
    <w:rsid w:val="00E85272"/>
    <w:rsid w:val="00E91292"/>
    <w:rsid w:val="00E94E36"/>
    <w:rsid w:val="00EA074E"/>
    <w:rsid w:val="00EA28EA"/>
    <w:rsid w:val="00EA2D19"/>
    <w:rsid w:val="00EA5085"/>
    <w:rsid w:val="00EB022C"/>
    <w:rsid w:val="00EB14DF"/>
    <w:rsid w:val="00EB5FFA"/>
    <w:rsid w:val="00EC595D"/>
    <w:rsid w:val="00ED0144"/>
    <w:rsid w:val="00ED3949"/>
    <w:rsid w:val="00ED5329"/>
    <w:rsid w:val="00ED6A62"/>
    <w:rsid w:val="00EE236D"/>
    <w:rsid w:val="00EF5F67"/>
    <w:rsid w:val="00F01A14"/>
    <w:rsid w:val="00F04E9D"/>
    <w:rsid w:val="00F06097"/>
    <w:rsid w:val="00F0612D"/>
    <w:rsid w:val="00F076ED"/>
    <w:rsid w:val="00F1178A"/>
    <w:rsid w:val="00F1541B"/>
    <w:rsid w:val="00F168F2"/>
    <w:rsid w:val="00F21445"/>
    <w:rsid w:val="00F22F05"/>
    <w:rsid w:val="00F2566E"/>
    <w:rsid w:val="00F47F67"/>
    <w:rsid w:val="00F5043E"/>
    <w:rsid w:val="00F52EC7"/>
    <w:rsid w:val="00F56B2B"/>
    <w:rsid w:val="00F602D0"/>
    <w:rsid w:val="00F65894"/>
    <w:rsid w:val="00F6727C"/>
    <w:rsid w:val="00F67C89"/>
    <w:rsid w:val="00F7026E"/>
    <w:rsid w:val="00F71361"/>
    <w:rsid w:val="00F72AEB"/>
    <w:rsid w:val="00F739B1"/>
    <w:rsid w:val="00F75943"/>
    <w:rsid w:val="00F813C6"/>
    <w:rsid w:val="00F95598"/>
    <w:rsid w:val="00F96255"/>
    <w:rsid w:val="00F97998"/>
    <w:rsid w:val="00FA3EED"/>
    <w:rsid w:val="00FB48D5"/>
    <w:rsid w:val="00FB5438"/>
    <w:rsid w:val="00FB5EE9"/>
    <w:rsid w:val="00FC5081"/>
    <w:rsid w:val="00FE1D7D"/>
    <w:rsid w:val="00FF57A9"/>
    <w:rsid w:val="00FF7CF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0" w:unhideWhenUsed="0" w:qFormat="1"/>
    <w:lsdException w:name="Emphasis" w:semiHidden="0" w:uiPriority="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434B9"/>
    <w:pPr>
      <w:suppressAutoHyphens/>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2D5330"/>
    <w:pPr>
      <w:keepNext/>
      <w:keepLines/>
      <w:spacing w:before="480"/>
      <w:outlineLvl w:val="0"/>
    </w:pPr>
    <w:rPr>
      <w:rFonts w:ascii="Arial" w:eastAsia="Arial" w:hAnsi="Arial"/>
      <w:b/>
      <w:bCs/>
      <w:color w:val="365F91"/>
      <w:sz w:val="28"/>
      <w:szCs w:val="28"/>
      <w:lang/>
    </w:rPr>
  </w:style>
  <w:style w:type="paragraph" w:styleId="Ttulo2">
    <w:name w:val="heading 2"/>
    <w:basedOn w:val="Normal"/>
    <w:next w:val="Normal"/>
    <w:link w:val="Ttulo2Char"/>
    <w:uiPriority w:val="9"/>
    <w:qFormat/>
    <w:rsid w:val="00CB3209"/>
    <w:pPr>
      <w:keepNext/>
      <w:suppressAutoHyphens w:val="0"/>
      <w:jc w:val="center"/>
      <w:outlineLvl w:val="1"/>
    </w:pPr>
    <w:rPr>
      <w:rFonts w:ascii="Arial" w:hAnsi="Arial"/>
      <w:sz w:val="24"/>
    </w:rPr>
  </w:style>
  <w:style w:type="paragraph" w:styleId="Ttulo3">
    <w:name w:val="heading 3"/>
    <w:basedOn w:val="Normal"/>
    <w:next w:val="Normal"/>
    <w:link w:val="Ttulo3Char"/>
    <w:uiPriority w:val="9"/>
    <w:unhideWhenUsed/>
    <w:qFormat/>
    <w:rsid w:val="002D5330"/>
    <w:pPr>
      <w:keepNext/>
      <w:keepLines/>
      <w:spacing w:before="200"/>
      <w:outlineLvl w:val="2"/>
    </w:pPr>
    <w:rPr>
      <w:rFonts w:ascii="Arial" w:eastAsia="Arial" w:hAnsi="Arial"/>
      <w:b/>
      <w:bCs/>
      <w:color w:val="4F81BD"/>
      <w:lang/>
    </w:rPr>
  </w:style>
  <w:style w:type="paragraph" w:styleId="Ttulo4">
    <w:name w:val="heading 4"/>
    <w:aliases w:val="Nome das unidades"/>
    <w:basedOn w:val="Normal"/>
    <w:next w:val="Normal"/>
    <w:link w:val="Ttulo4Char"/>
    <w:uiPriority w:val="9"/>
    <w:qFormat/>
    <w:rsid w:val="005D71A9"/>
    <w:pPr>
      <w:keepNext/>
      <w:suppressAutoHyphens w:val="0"/>
      <w:jc w:val="center"/>
      <w:outlineLvl w:val="3"/>
    </w:pPr>
    <w:rPr>
      <w:rFonts w:ascii="Arial" w:hAnsi="Arial"/>
      <w:b/>
      <w:sz w:val="18"/>
    </w:rPr>
  </w:style>
  <w:style w:type="paragraph" w:styleId="Ttulo5">
    <w:name w:val="heading 5"/>
    <w:basedOn w:val="Normal"/>
    <w:next w:val="Normal"/>
    <w:link w:val="Ttulo5Char"/>
    <w:uiPriority w:val="9"/>
    <w:qFormat/>
    <w:rsid w:val="005D71A9"/>
    <w:pPr>
      <w:keepNext/>
      <w:keepLines/>
      <w:suppressAutoHyphens w:val="0"/>
      <w:spacing w:before="200" w:line="360" w:lineRule="auto"/>
      <w:ind w:firstLine="567"/>
      <w:jc w:val="both"/>
      <w:outlineLvl w:val="4"/>
    </w:pPr>
    <w:rPr>
      <w:rFonts w:ascii="Cambria" w:hAnsi="Cambria"/>
      <w:color w:val="243F60"/>
      <w:sz w:val="24"/>
      <w:szCs w:val="24"/>
      <w:lang w:eastAsia="en-US"/>
    </w:rPr>
  </w:style>
  <w:style w:type="paragraph" w:styleId="Ttulo6">
    <w:name w:val="heading 6"/>
    <w:basedOn w:val="Normal"/>
    <w:next w:val="Normal"/>
    <w:link w:val="Ttulo6Char"/>
    <w:uiPriority w:val="9"/>
    <w:semiHidden/>
    <w:unhideWhenUsed/>
    <w:qFormat/>
    <w:rsid w:val="003E300B"/>
    <w:pPr>
      <w:keepNext/>
      <w:keepLines/>
      <w:suppressAutoHyphens w:val="0"/>
      <w:spacing w:before="40" w:line="259" w:lineRule="auto"/>
      <w:outlineLvl w:val="5"/>
    </w:pPr>
    <w:rPr>
      <w:rFonts w:ascii="Calibri" w:hAnsi="Calibri"/>
      <w:i/>
      <w:iCs/>
      <w:color w:val="595959"/>
      <w:kern w:val="2"/>
      <w:sz w:val="22"/>
      <w:szCs w:val="22"/>
      <w:lang w:eastAsia="en-US"/>
    </w:rPr>
  </w:style>
  <w:style w:type="paragraph" w:styleId="Ttulo7">
    <w:name w:val="heading 7"/>
    <w:basedOn w:val="Normal"/>
    <w:next w:val="Normal"/>
    <w:link w:val="Ttulo7Char"/>
    <w:uiPriority w:val="9"/>
    <w:semiHidden/>
    <w:unhideWhenUsed/>
    <w:qFormat/>
    <w:rsid w:val="003E300B"/>
    <w:pPr>
      <w:keepNext/>
      <w:keepLines/>
      <w:suppressAutoHyphens w:val="0"/>
      <w:spacing w:before="40" w:line="259" w:lineRule="auto"/>
      <w:outlineLvl w:val="6"/>
    </w:pPr>
    <w:rPr>
      <w:rFonts w:ascii="Calibri" w:hAnsi="Calibri"/>
      <w:color w:val="595959"/>
      <w:kern w:val="2"/>
      <w:sz w:val="22"/>
      <w:szCs w:val="22"/>
      <w:lang w:eastAsia="en-US"/>
    </w:rPr>
  </w:style>
  <w:style w:type="paragraph" w:styleId="Ttulo8">
    <w:name w:val="heading 8"/>
    <w:basedOn w:val="Normal"/>
    <w:next w:val="Normal"/>
    <w:link w:val="Ttulo8Char"/>
    <w:uiPriority w:val="9"/>
    <w:semiHidden/>
    <w:unhideWhenUsed/>
    <w:qFormat/>
    <w:rsid w:val="003E300B"/>
    <w:pPr>
      <w:keepNext/>
      <w:keepLines/>
      <w:suppressAutoHyphens w:val="0"/>
      <w:spacing w:line="259" w:lineRule="auto"/>
      <w:outlineLvl w:val="7"/>
    </w:pPr>
    <w:rPr>
      <w:rFonts w:ascii="Calibri" w:hAnsi="Calibri"/>
      <w:i/>
      <w:iCs/>
      <w:color w:val="272727"/>
      <w:kern w:val="2"/>
      <w:sz w:val="22"/>
      <w:szCs w:val="22"/>
      <w:lang w:eastAsia="en-US"/>
    </w:rPr>
  </w:style>
  <w:style w:type="paragraph" w:styleId="Ttulo9">
    <w:name w:val="heading 9"/>
    <w:basedOn w:val="Normal"/>
    <w:next w:val="Normal"/>
    <w:link w:val="Ttulo9Char"/>
    <w:uiPriority w:val="9"/>
    <w:semiHidden/>
    <w:unhideWhenUsed/>
    <w:qFormat/>
    <w:rsid w:val="003E300B"/>
    <w:pPr>
      <w:keepNext/>
      <w:keepLines/>
      <w:suppressAutoHyphens w:val="0"/>
      <w:spacing w:line="259" w:lineRule="auto"/>
      <w:outlineLvl w:val="8"/>
    </w:pPr>
    <w:rPr>
      <w:rFonts w:ascii="Calibri" w:hAnsi="Calibri"/>
      <w:color w:val="272727"/>
      <w:kern w:val="2"/>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nhideWhenUsed/>
    <w:rsid w:val="006434B9"/>
    <w:rPr>
      <w:color w:val="FF0000"/>
      <w:sz w:val="24"/>
      <w:szCs w:val="24"/>
    </w:rPr>
  </w:style>
  <w:style w:type="character" w:customStyle="1" w:styleId="CorpodetextoChar">
    <w:name w:val="Corpo de texto Char"/>
    <w:basedOn w:val="Fontepargpadro"/>
    <w:link w:val="Corpodetexto"/>
    <w:qFormat/>
    <w:rsid w:val="006434B9"/>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unhideWhenUsed/>
    <w:rsid w:val="006434B9"/>
    <w:pPr>
      <w:ind w:left="3780"/>
    </w:pPr>
    <w:rPr>
      <w:sz w:val="24"/>
      <w:szCs w:val="24"/>
    </w:rPr>
  </w:style>
  <w:style w:type="character" w:customStyle="1" w:styleId="RecuodecorpodetextoChar">
    <w:name w:val="Recuo de corpo de texto Char"/>
    <w:basedOn w:val="Fontepargpadro"/>
    <w:link w:val="Recuodecorpodetexto"/>
    <w:qFormat/>
    <w:rsid w:val="006434B9"/>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qFormat/>
    <w:rsid w:val="00CB3209"/>
    <w:rPr>
      <w:rFonts w:ascii="Arial" w:eastAsia="Times New Roman" w:hAnsi="Arial" w:cs="Times New Roman"/>
      <w:sz w:val="24"/>
      <w:szCs w:val="20"/>
      <w:lang w:eastAsia="pt-BR"/>
    </w:rPr>
  </w:style>
  <w:style w:type="paragraph" w:styleId="SemEspaamento">
    <w:name w:val="No Spacing"/>
    <w:uiPriority w:val="1"/>
    <w:qFormat/>
    <w:rsid w:val="00CB3209"/>
    <w:pPr>
      <w:spacing w:after="0" w:line="240" w:lineRule="auto"/>
      <w:ind w:firstLine="567"/>
      <w:jc w:val="both"/>
    </w:pPr>
    <w:rPr>
      <w:rFonts w:ascii="Calibri" w:eastAsia="Times New Roman" w:hAnsi="Calibri" w:cs="Times New Roman"/>
      <w:sz w:val="24"/>
      <w:szCs w:val="24"/>
    </w:rPr>
  </w:style>
  <w:style w:type="paragraph" w:styleId="NormalWeb">
    <w:name w:val="Normal (Web)"/>
    <w:basedOn w:val="Normal"/>
    <w:uiPriority w:val="99"/>
    <w:unhideWhenUsed/>
    <w:rsid w:val="00D33998"/>
    <w:pPr>
      <w:suppressAutoHyphens w:val="0"/>
      <w:spacing w:before="100" w:beforeAutospacing="1" w:after="100" w:afterAutospacing="1"/>
    </w:pPr>
    <w:rPr>
      <w:sz w:val="24"/>
      <w:szCs w:val="24"/>
    </w:rPr>
  </w:style>
  <w:style w:type="paragraph" w:customStyle="1" w:styleId="Recuodecorpodetexto21">
    <w:name w:val="Recuo de corpo de texto 21"/>
    <w:basedOn w:val="Normal"/>
    <w:rsid w:val="006B0EC6"/>
    <w:pPr>
      <w:tabs>
        <w:tab w:val="left" w:pos="1134"/>
      </w:tabs>
      <w:suppressAutoHyphens w:val="0"/>
      <w:spacing w:before="120" w:line="360" w:lineRule="auto"/>
      <w:ind w:firstLine="709"/>
      <w:jc w:val="both"/>
    </w:pPr>
    <w:rPr>
      <w:rFonts w:ascii="Arial" w:hAnsi="Arial"/>
      <w:sz w:val="22"/>
      <w:lang w:eastAsia="zh-CN"/>
    </w:rPr>
  </w:style>
  <w:style w:type="paragraph" w:customStyle="1" w:styleId="WW-Recuodecorpodetexto21">
    <w:name w:val="WW-Recuo de corpo de texto 21"/>
    <w:basedOn w:val="Normal"/>
    <w:rsid w:val="006B0EC6"/>
    <w:pPr>
      <w:tabs>
        <w:tab w:val="left" w:pos="1134"/>
      </w:tabs>
      <w:suppressAutoHyphens w:val="0"/>
      <w:spacing w:before="120" w:line="360" w:lineRule="auto"/>
      <w:ind w:firstLine="1134"/>
      <w:jc w:val="both"/>
    </w:pPr>
    <w:rPr>
      <w:rFonts w:ascii="Arial" w:hAnsi="Arial"/>
      <w:sz w:val="22"/>
      <w:lang w:eastAsia="zh-CN"/>
    </w:rPr>
  </w:style>
  <w:style w:type="paragraph" w:styleId="PargrafodaLista">
    <w:name w:val="List Paragraph"/>
    <w:basedOn w:val="Normal"/>
    <w:uiPriority w:val="34"/>
    <w:qFormat/>
    <w:rsid w:val="0003608F"/>
    <w:pPr>
      <w:ind w:left="720"/>
      <w:contextualSpacing/>
    </w:pPr>
    <w:rPr>
      <w:rFonts w:eastAsia="Calibri"/>
      <w:sz w:val="24"/>
      <w:szCs w:val="24"/>
      <w:lang w:eastAsia="zh-CN"/>
    </w:rPr>
  </w:style>
  <w:style w:type="paragraph" w:styleId="Subttulo">
    <w:name w:val="Subtitle"/>
    <w:basedOn w:val="Normal"/>
    <w:link w:val="SubttuloChar"/>
    <w:uiPriority w:val="11"/>
    <w:qFormat/>
    <w:rsid w:val="00750E91"/>
    <w:pPr>
      <w:suppressAutoHyphens w:val="0"/>
      <w:jc w:val="center"/>
    </w:pPr>
    <w:rPr>
      <w:b/>
      <w:bCs/>
      <w:sz w:val="24"/>
      <w:szCs w:val="24"/>
    </w:rPr>
  </w:style>
  <w:style w:type="character" w:customStyle="1" w:styleId="SubttuloChar">
    <w:name w:val="Subtítulo Char"/>
    <w:basedOn w:val="Fontepargpadro"/>
    <w:link w:val="Subttulo"/>
    <w:uiPriority w:val="11"/>
    <w:rsid w:val="00750E91"/>
    <w:rPr>
      <w:rFonts w:ascii="Times New Roman" w:eastAsia="Times New Roman" w:hAnsi="Times New Roman" w:cs="Times New Roman"/>
      <w:b/>
      <w:bCs/>
      <w:sz w:val="24"/>
      <w:szCs w:val="24"/>
      <w:lang w:eastAsia="pt-BR"/>
    </w:rPr>
  </w:style>
  <w:style w:type="character" w:styleId="nfase">
    <w:name w:val="Emphasis"/>
    <w:basedOn w:val="Fontepargpadro"/>
    <w:qFormat/>
    <w:rsid w:val="000B7778"/>
    <w:rPr>
      <w:i/>
      <w:iCs/>
    </w:rPr>
  </w:style>
  <w:style w:type="character" w:styleId="nfaseIntensa">
    <w:name w:val="Intense Emphasis"/>
    <w:basedOn w:val="Fontepargpadro"/>
    <w:uiPriority w:val="21"/>
    <w:qFormat/>
    <w:rsid w:val="00264F1C"/>
    <w:rPr>
      <w:b/>
      <w:bCs/>
      <w:i/>
      <w:iCs/>
      <w:color w:val="4F81BD"/>
    </w:rPr>
  </w:style>
  <w:style w:type="paragraph" w:styleId="Corpodetexto2">
    <w:name w:val="Body Text 2"/>
    <w:basedOn w:val="Normal"/>
    <w:link w:val="Corpodetexto2Char"/>
    <w:unhideWhenUsed/>
    <w:rsid w:val="00E400FD"/>
    <w:pPr>
      <w:suppressAutoHyphens w:val="0"/>
      <w:spacing w:after="120" w:line="480" w:lineRule="auto"/>
    </w:pPr>
  </w:style>
  <w:style w:type="character" w:customStyle="1" w:styleId="Corpodetexto2Char">
    <w:name w:val="Corpo de texto 2 Char"/>
    <w:basedOn w:val="Fontepargpadro"/>
    <w:link w:val="Corpodetexto2"/>
    <w:rsid w:val="00E400FD"/>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E400FD"/>
    <w:pPr>
      <w:suppressAutoHyphens w:val="0"/>
      <w:spacing w:after="120"/>
    </w:pPr>
    <w:rPr>
      <w:sz w:val="16"/>
      <w:szCs w:val="16"/>
    </w:rPr>
  </w:style>
  <w:style w:type="character" w:customStyle="1" w:styleId="Corpodetexto3Char">
    <w:name w:val="Corpo de texto 3 Char"/>
    <w:basedOn w:val="Fontepargpadro"/>
    <w:link w:val="Corpodetexto3"/>
    <w:rsid w:val="00E400FD"/>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nhideWhenUsed/>
    <w:rsid w:val="00E400FD"/>
    <w:pPr>
      <w:suppressAutoHyphens w:val="0"/>
      <w:spacing w:after="120"/>
      <w:ind w:left="283"/>
    </w:pPr>
    <w:rPr>
      <w:sz w:val="16"/>
      <w:szCs w:val="16"/>
    </w:rPr>
  </w:style>
  <w:style w:type="character" w:customStyle="1" w:styleId="Recuodecorpodetexto3Char">
    <w:name w:val="Recuo de corpo de texto 3 Char"/>
    <w:basedOn w:val="Fontepargpadro"/>
    <w:link w:val="Recuodecorpodetexto3"/>
    <w:rsid w:val="00E400FD"/>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iPriority w:val="99"/>
    <w:semiHidden/>
    <w:unhideWhenUsed/>
    <w:rsid w:val="00CA679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A679C"/>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qFormat/>
    <w:rsid w:val="002D5330"/>
    <w:rPr>
      <w:rFonts w:ascii="Arial" w:eastAsia="Arial" w:hAnsi="Arial" w:cs="Times New Roman"/>
      <w:b/>
      <w:bCs/>
      <w:color w:val="365F91"/>
      <w:sz w:val="28"/>
      <w:szCs w:val="28"/>
      <w:lang w:eastAsia="pt-BR"/>
    </w:rPr>
  </w:style>
  <w:style w:type="character" w:customStyle="1" w:styleId="Ttulo3Char">
    <w:name w:val="Título 3 Char"/>
    <w:basedOn w:val="Fontepargpadro"/>
    <w:link w:val="Ttulo3"/>
    <w:uiPriority w:val="9"/>
    <w:qFormat/>
    <w:rsid w:val="002D5330"/>
    <w:rPr>
      <w:rFonts w:ascii="Arial" w:eastAsia="Arial" w:hAnsi="Arial" w:cs="Times New Roman"/>
      <w:b/>
      <w:bCs/>
      <w:color w:val="4F81BD"/>
      <w:sz w:val="20"/>
      <w:szCs w:val="20"/>
      <w:lang w:eastAsia="pt-BR"/>
    </w:rPr>
  </w:style>
  <w:style w:type="paragraph" w:styleId="Ttulo">
    <w:name w:val="Title"/>
    <w:basedOn w:val="Normal"/>
    <w:next w:val="Corpodetexto"/>
    <w:link w:val="TtuloChar"/>
    <w:uiPriority w:val="10"/>
    <w:qFormat/>
    <w:rsid w:val="002D5330"/>
    <w:pPr>
      <w:keepNext/>
      <w:spacing w:before="240" w:after="120"/>
    </w:pPr>
    <w:rPr>
      <w:rFonts w:ascii="Liberation Sans" w:eastAsia="Microsoft YaHei" w:hAnsi="Liberation Sans" w:cs="Arial"/>
      <w:sz w:val="28"/>
      <w:szCs w:val="28"/>
    </w:rPr>
  </w:style>
  <w:style w:type="character" w:customStyle="1" w:styleId="TtuloChar">
    <w:name w:val="Título Char"/>
    <w:basedOn w:val="Fontepargpadro"/>
    <w:link w:val="Ttulo"/>
    <w:uiPriority w:val="10"/>
    <w:rsid w:val="002D5330"/>
    <w:rPr>
      <w:rFonts w:ascii="Liberation Sans" w:eastAsia="Microsoft YaHei" w:hAnsi="Liberation Sans" w:cs="Arial"/>
      <w:sz w:val="28"/>
      <w:szCs w:val="28"/>
      <w:lang w:eastAsia="pt-BR"/>
    </w:rPr>
  </w:style>
  <w:style w:type="character" w:customStyle="1" w:styleId="CorpodetextoChar1">
    <w:name w:val="Corpo de texto Char1"/>
    <w:basedOn w:val="Fontepargpadro"/>
    <w:uiPriority w:val="99"/>
    <w:semiHidden/>
    <w:rsid w:val="002D5330"/>
  </w:style>
  <w:style w:type="paragraph" w:styleId="Lista">
    <w:name w:val="List"/>
    <w:basedOn w:val="Corpodetexto"/>
    <w:rsid w:val="002D5330"/>
    <w:rPr>
      <w:rFonts w:cs="Arial"/>
    </w:rPr>
  </w:style>
  <w:style w:type="paragraph" w:styleId="Legenda">
    <w:name w:val="caption"/>
    <w:basedOn w:val="Normal"/>
    <w:qFormat/>
    <w:rsid w:val="002D5330"/>
    <w:pPr>
      <w:suppressLineNumbers/>
      <w:spacing w:before="120" w:after="120"/>
    </w:pPr>
    <w:rPr>
      <w:rFonts w:cs="Arial"/>
      <w:i/>
      <w:iCs/>
      <w:sz w:val="24"/>
      <w:szCs w:val="24"/>
    </w:rPr>
  </w:style>
  <w:style w:type="paragraph" w:customStyle="1" w:styleId="ndice">
    <w:name w:val="Índice"/>
    <w:basedOn w:val="Normal"/>
    <w:qFormat/>
    <w:rsid w:val="002D5330"/>
    <w:pPr>
      <w:suppressLineNumbers/>
    </w:pPr>
    <w:rPr>
      <w:rFonts w:cs="Arial"/>
    </w:rPr>
  </w:style>
  <w:style w:type="character" w:customStyle="1" w:styleId="RecuodecorpodetextoChar1">
    <w:name w:val="Recuo de corpo de texto Char1"/>
    <w:basedOn w:val="Fontepargpadro"/>
    <w:uiPriority w:val="99"/>
    <w:semiHidden/>
    <w:rsid w:val="002D5330"/>
  </w:style>
  <w:style w:type="paragraph" w:styleId="Textodebalo">
    <w:name w:val="Balloon Text"/>
    <w:basedOn w:val="Normal"/>
    <w:link w:val="TextodebaloChar"/>
    <w:semiHidden/>
    <w:unhideWhenUsed/>
    <w:rsid w:val="002D5330"/>
    <w:rPr>
      <w:rFonts w:ascii="Tahoma" w:hAnsi="Tahoma" w:cs="Tahoma"/>
      <w:sz w:val="16"/>
      <w:szCs w:val="16"/>
    </w:rPr>
  </w:style>
  <w:style w:type="character" w:customStyle="1" w:styleId="TextodebaloChar">
    <w:name w:val="Texto de balão Char"/>
    <w:basedOn w:val="Fontepargpadro"/>
    <w:link w:val="Textodebalo"/>
    <w:semiHidden/>
    <w:rsid w:val="002D5330"/>
    <w:rPr>
      <w:rFonts w:ascii="Tahoma" w:eastAsia="Times New Roman" w:hAnsi="Tahoma" w:cs="Tahoma"/>
      <w:sz w:val="16"/>
      <w:szCs w:val="16"/>
      <w:lang w:eastAsia="pt-BR"/>
    </w:rPr>
  </w:style>
  <w:style w:type="character" w:customStyle="1" w:styleId="fontstyle01">
    <w:name w:val="fontstyle01"/>
    <w:basedOn w:val="Fontepargpadro"/>
    <w:rsid w:val="00DF2831"/>
    <w:rPr>
      <w:rFonts w:ascii="LiberationSans" w:hAnsi="LiberationSans" w:hint="default"/>
      <w:b w:val="0"/>
      <w:bCs w:val="0"/>
      <w:i w:val="0"/>
      <w:iCs w:val="0"/>
      <w:color w:val="333333"/>
      <w:sz w:val="22"/>
      <w:szCs w:val="22"/>
    </w:rPr>
  </w:style>
  <w:style w:type="character" w:customStyle="1" w:styleId="fontstyle21">
    <w:name w:val="fontstyle21"/>
    <w:basedOn w:val="Fontepargpadro"/>
    <w:rsid w:val="00DF2831"/>
    <w:rPr>
      <w:rFonts w:ascii="LiberationSans-Bold" w:hAnsi="LiberationSans-Bold" w:hint="default"/>
      <w:b/>
      <w:bCs/>
      <w:i w:val="0"/>
      <w:iCs w:val="0"/>
      <w:color w:val="FFFFFF"/>
      <w:sz w:val="18"/>
      <w:szCs w:val="18"/>
    </w:rPr>
  </w:style>
  <w:style w:type="table" w:styleId="Tabelacomgrade">
    <w:name w:val="Table Grid"/>
    <w:basedOn w:val="Tabelanormal"/>
    <w:uiPriority w:val="99"/>
    <w:rsid w:val="00F25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0F56BF"/>
    <w:pPr>
      <w:tabs>
        <w:tab w:val="center" w:pos="4252"/>
        <w:tab w:val="right" w:pos="8504"/>
      </w:tabs>
    </w:pPr>
  </w:style>
  <w:style w:type="character" w:customStyle="1" w:styleId="CabealhoChar">
    <w:name w:val="Cabeçalho Char"/>
    <w:basedOn w:val="Fontepargpadro"/>
    <w:link w:val="Cabealho"/>
    <w:uiPriority w:val="99"/>
    <w:rsid w:val="000F56B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F56BF"/>
    <w:pPr>
      <w:tabs>
        <w:tab w:val="center" w:pos="4252"/>
        <w:tab w:val="right" w:pos="8504"/>
      </w:tabs>
    </w:pPr>
  </w:style>
  <w:style w:type="character" w:customStyle="1" w:styleId="RodapChar">
    <w:name w:val="Rodapé Char"/>
    <w:basedOn w:val="Fontepargpadro"/>
    <w:link w:val="Rodap"/>
    <w:uiPriority w:val="99"/>
    <w:rsid w:val="000F56BF"/>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E73B1F"/>
    <w:rPr>
      <w:color w:val="0000FF"/>
      <w:u w:val="single"/>
    </w:rPr>
  </w:style>
  <w:style w:type="paragraph" w:styleId="Textodenotaderodap">
    <w:name w:val="footnote text"/>
    <w:basedOn w:val="Normal"/>
    <w:link w:val="TextodenotaderodapChar"/>
    <w:uiPriority w:val="99"/>
    <w:semiHidden/>
    <w:unhideWhenUsed/>
    <w:rsid w:val="00E73B1F"/>
    <w:pPr>
      <w:suppressAutoHyphens w:val="0"/>
      <w:spacing w:after="200" w:line="276" w:lineRule="auto"/>
    </w:pPr>
    <w:rPr>
      <w:rFonts w:ascii="Calibri" w:eastAsia="Calibri" w:hAnsi="Calibri"/>
      <w:lang w:eastAsia="en-US"/>
    </w:rPr>
  </w:style>
  <w:style w:type="character" w:customStyle="1" w:styleId="TextodenotaderodapChar">
    <w:name w:val="Texto de nota de rodapé Char"/>
    <w:basedOn w:val="Fontepargpadro"/>
    <w:link w:val="Textodenotaderodap"/>
    <w:uiPriority w:val="99"/>
    <w:semiHidden/>
    <w:rsid w:val="00E73B1F"/>
    <w:rPr>
      <w:rFonts w:ascii="Calibri" w:eastAsia="Calibri" w:hAnsi="Calibri" w:cs="Times New Roman"/>
      <w:sz w:val="20"/>
      <w:szCs w:val="20"/>
    </w:rPr>
  </w:style>
  <w:style w:type="character" w:styleId="Refdenotaderodap">
    <w:name w:val="footnote reference"/>
    <w:basedOn w:val="Fontepargpadro"/>
    <w:uiPriority w:val="99"/>
    <w:semiHidden/>
    <w:unhideWhenUsed/>
    <w:rsid w:val="00E73B1F"/>
    <w:rPr>
      <w:vertAlign w:val="superscript"/>
    </w:rPr>
  </w:style>
  <w:style w:type="character" w:customStyle="1" w:styleId="UnresolvedMention">
    <w:name w:val="Unresolved Mention"/>
    <w:basedOn w:val="Fontepargpadro"/>
    <w:uiPriority w:val="99"/>
    <w:semiHidden/>
    <w:unhideWhenUsed/>
    <w:rsid w:val="00E73B1F"/>
    <w:rPr>
      <w:color w:val="605E5C"/>
      <w:shd w:val="clear" w:color="auto" w:fill="E1DFDD"/>
    </w:rPr>
  </w:style>
  <w:style w:type="character" w:customStyle="1" w:styleId="Ttulo4Char">
    <w:name w:val="Título 4 Char"/>
    <w:aliases w:val="Nome das unidades Char"/>
    <w:basedOn w:val="Fontepargpadro"/>
    <w:link w:val="Ttulo4"/>
    <w:uiPriority w:val="9"/>
    <w:rsid w:val="005D71A9"/>
    <w:rPr>
      <w:rFonts w:ascii="Arial" w:eastAsia="Times New Roman" w:hAnsi="Arial" w:cs="Times New Roman"/>
      <w:b/>
      <w:sz w:val="18"/>
      <w:szCs w:val="20"/>
      <w:lang w:eastAsia="pt-BR"/>
    </w:rPr>
  </w:style>
  <w:style w:type="character" w:customStyle="1" w:styleId="Ttulo5Char">
    <w:name w:val="Título 5 Char"/>
    <w:basedOn w:val="Fontepargpadro"/>
    <w:link w:val="Ttulo5"/>
    <w:uiPriority w:val="9"/>
    <w:rsid w:val="005D71A9"/>
    <w:rPr>
      <w:rFonts w:ascii="Cambria" w:eastAsia="Times New Roman" w:hAnsi="Cambria" w:cs="Times New Roman"/>
      <w:color w:val="243F60"/>
      <w:sz w:val="24"/>
      <w:szCs w:val="24"/>
    </w:rPr>
  </w:style>
  <w:style w:type="paragraph" w:customStyle="1" w:styleId="Contedodatabela">
    <w:name w:val="Conteúdo da tabela"/>
    <w:basedOn w:val="Normal"/>
    <w:uiPriority w:val="99"/>
    <w:rsid w:val="005D71A9"/>
    <w:pPr>
      <w:widowControl w:val="0"/>
      <w:suppressLineNumbers/>
      <w:spacing w:before="120" w:line="360" w:lineRule="auto"/>
      <w:ind w:firstLine="567"/>
      <w:jc w:val="both"/>
    </w:pPr>
    <w:rPr>
      <w:rFonts w:ascii="Arial" w:eastAsia="Calibri" w:hAnsi="Arial" w:cs="Mangal"/>
      <w:kern w:val="1"/>
      <w:sz w:val="24"/>
      <w:szCs w:val="24"/>
      <w:lang w:eastAsia="zh-CN" w:bidi="hi-IN"/>
    </w:rPr>
  </w:style>
  <w:style w:type="character" w:customStyle="1" w:styleId="apple-converted-space">
    <w:name w:val="apple-converted-space"/>
    <w:uiPriority w:val="99"/>
    <w:rsid w:val="005D71A9"/>
  </w:style>
  <w:style w:type="paragraph" w:customStyle="1" w:styleId="normal1">
    <w:name w:val="normal1"/>
    <w:basedOn w:val="Normal"/>
    <w:uiPriority w:val="99"/>
    <w:rsid w:val="005D71A9"/>
    <w:pPr>
      <w:tabs>
        <w:tab w:val="left" w:pos="1701"/>
      </w:tabs>
      <w:suppressAutoHyphens w:val="0"/>
      <w:autoSpaceDE w:val="0"/>
      <w:autoSpaceDN w:val="0"/>
      <w:adjustRightInd w:val="0"/>
      <w:spacing w:before="120" w:line="360" w:lineRule="auto"/>
      <w:ind w:firstLine="1560"/>
      <w:jc w:val="both"/>
    </w:pPr>
    <w:rPr>
      <w:rFonts w:ascii="Courier New" w:hAnsi="Courier New" w:cs="Courier New"/>
      <w:sz w:val="24"/>
      <w:szCs w:val="24"/>
    </w:rPr>
  </w:style>
  <w:style w:type="character" w:customStyle="1" w:styleId="Caracteresdenotaderodap">
    <w:name w:val="Caracteres de nota de rodapé"/>
    <w:uiPriority w:val="99"/>
    <w:rsid w:val="005D71A9"/>
  </w:style>
  <w:style w:type="paragraph" w:styleId="Remissivo1">
    <w:name w:val="index 1"/>
    <w:basedOn w:val="Normal"/>
    <w:next w:val="Normal"/>
    <w:autoRedefine/>
    <w:uiPriority w:val="99"/>
    <w:semiHidden/>
    <w:rsid w:val="005D71A9"/>
    <w:pPr>
      <w:suppressAutoHyphens w:val="0"/>
      <w:spacing w:before="120" w:after="120" w:line="360" w:lineRule="auto"/>
      <w:ind w:left="220" w:hanging="220"/>
      <w:jc w:val="both"/>
    </w:pPr>
    <w:rPr>
      <w:rFonts w:ascii="Calibri" w:eastAsia="Calibri" w:hAnsi="Calibri"/>
      <w:sz w:val="24"/>
      <w:szCs w:val="24"/>
      <w:lang w:eastAsia="en-US"/>
    </w:rPr>
  </w:style>
  <w:style w:type="character" w:styleId="TtulodoLivro">
    <w:name w:val="Book Title"/>
    <w:uiPriority w:val="99"/>
    <w:qFormat/>
    <w:rsid w:val="005D71A9"/>
    <w:rPr>
      <w:rFonts w:cs="Times New Roman"/>
      <w:b/>
      <w:bCs/>
      <w:smallCaps/>
      <w:spacing w:val="5"/>
    </w:rPr>
  </w:style>
  <w:style w:type="paragraph" w:customStyle="1" w:styleId="Contedodoquadro">
    <w:name w:val="Conteúdo do quadro"/>
    <w:basedOn w:val="Corpodetexto"/>
    <w:uiPriority w:val="99"/>
    <w:rsid w:val="005D71A9"/>
    <w:pPr>
      <w:tabs>
        <w:tab w:val="left" w:pos="1701"/>
        <w:tab w:val="right" w:pos="2268"/>
        <w:tab w:val="right" w:pos="2835"/>
        <w:tab w:val="right" w:pos="3119"/>
        <w:tab w:val="left" w:pos="4253"/>
      </w:tabs>
      <w:spacing w:before="120" w:after="120"/>
      <w:ind w:left="2268" w:firstLine="567"/>
      <w:jc w:val="both"/>
    </w:pPr>
    <w:rPr>
      <w:rFonts w:ascii="Arial" w:hAnsi="Arial"/>
      <w:color w:val="auto"/>
      <w:sz w:val="20"/>
      <w:szCs w:val="20"/>
      <w:lang w:eastAsia="ar-SA"/>
    </w:rPr>
  </w:style>
  <w:style w:type="paragraph" w:customStyle="1" w:styleId="Ementa-Ttulo">
    <w:name w:val="Ementa - Título"/>
    <w:basedOn w:val="Normal"/>
    <w:uiPriority w:val="99"/>
    <w:rsid w:val="005D71A9"/>
    <w:pPr>
      <w:suppressAutoHyphens w:val="0"/>
      <w:spacing w:before="120" w:line="360" w:lineRule="auto"/>
      <w:ind w:left="2835" w:firstLine="567"/>
      <w:jc w:val="both"/>
    </w:pPr>
    <w:rPr>
      <w:rFonts w:ascii="Arial" w:hAnsi="Arial" w:cs="Arial"/>
      <w:b/>
      <w:bCs/>
      <w:caps/>
      <w:sz w:val="24"/>
      <w:szCs w:val="24"/>
    </w:rPr>
  </w:style>
  <w:style w:type="paragraph" w:customStyle="1" w:styleId="Ementa-Corpo">
    <w:name w:val="Ementa - Corpo"/>
    <w:basedOn w:val="Normal"/>
    <w:uiPriority w:val="99"/>
    <w:rsid w:val="005D71A9"/>
    <w:pPr>
      <w:suppressAutoHyphens w:val="0"/>
      <w:spacing w:before="120" w:line="360" w:lineRule="auto"/>
      <w:ind w:left="2835" w:firstLine="567"/>
      <w:jc w:val="both"/>
    </w:pPr>
    <w:rPr>
      <w:rFonts w:ascii="Arial" w:hAnsi="Arial" w:cs="Arial"/>
      <w:b/>
      <w:bCs/>
      <w:sz w:val="24"/>
      <w:szCs w:val="24"/>
    </w:rPr>
  </w:style>
  <w:style w:type="character" w:customStyle="1" w:styleId="PargrafoNormalChar">
    <w:name w:val="Parágrafo Normal Char"/>
    <w:uiPriority w:val="99"/>
    <w:rsid w:val="005D71A9"/>
    <w:rPr>
      <w:rFonts w:cs="Times New Roman"/>
    </w:rPr>
  </w:style>
  <w:style w:type="paragraph" w:customStyle="1" w:styleId="body10">
    <w:name w:val="body10"/>
    <w:uiPriority w:val="99"/>
    <w:rsid w:val="005D71A9"/>
    <w:pPr>
      <w:spacing w:after="0" w:line="220" w:lineRule="atLeast"/>
      <w:ind w:firstLine="454"/>
      <w:jc w:val="both"/>
    </w:pPr>
    <w:rPr>
      <w:rFonts w:ascii="Times New Roman" w:eastAsia="Times New Roman" w:hAnsi="Times New Roman" w:cs="Times New Roman"/>
      <w:sz w:val="20"/>
      <w:szCs w:val="20"/>
      <w:lang w:eastAsia="pt-BR"/>
    </w:rPr>
  </w:style>
  <w:style w:type="paragraph" w:customStyle="1" w:styleId="tit1">
    <w:name w:val="tit1"/>
    <w:uiPriority w:val="99"/>
    <w:rsid w:val="005D71A9"/>
    <w:pPr>
      <w:spacing w:before="113" w:after="0" w:line="240" w:lineRule="atLeast"/>
    </w:pPr>
    <w:rPr>
      <w:rFonts w:ascii="Times New Roman" w:eastAsia="Times New Roman" w:hAnsi="Times New Roman" w:cs="Times New Roman"/>
      <w:b/>
      <w:bCs/>
      <w:i/>
      <w:iCs/>
      <w:lang w:eastAsia="pt-BR"/>
    </w:rPr>
  </w:style>
  <w:style w:type="character" w:customStyle="1" w:styleId="CaracteresdeNotadeRodap0">
    <w:name w:val="Caracteres de Nota de Rodapé"/>
    <w:uiPriority w:val="99"/>
    <w:rsid w:val="005D71A9"/>
    <w:rPr>
      <w:rFonts w:ascii="Arial" w:hAnsi="Arial"/>
      <w:sz w:val="20"/>
      <w:vertAlign w:val="superscript"/>
    </w:rPr>
  </w:style>
  <w:style w:type="character" w:customStyle="1" w:styleId="firstementa">
    <w:name w:val="firstementa"/>
    <w:uiPriority w:val="99"/>
    <w:rsid w:val="005D71A9"/>
  </w:style>
  <w:style w:type="character" w:customStyle="1" w:styleId="hidden">
    <w:name w:val="hidden"/>
    <w:uiPriority w:val="99"/>
    <w:rsid w:val="005D71A9"/>
  </w:style>
  <w:style w:type="character" w:styleId="Forte">
    <w:name w:val="Strong"/>
    <w:qFormat/>
    <w:rsid w:val="005D71A9"/>
    <w:rPr>
      <w:rFonts w:cs="Times New Roman"/>
      <w:b/>
    </w:rPr>
  </w:style>
  <w:style w:type="paragraph" w:customStyle="1" w:styleId="Estilo">
    <w:name w:val="Estilo"/>
    <w:uiPriority w:val="99"/>
    <w:rsid w:val="005D71A9"/>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table" w:customStyle="1" w:styleId="Tabelacomgrade1">
    <w:name w:val="Tabela com grade1"/>
    <w:uiPriority w:val="99"/>
    <w:rsid w:val="005D7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1">
    <w:name w:val="toc 1"/>
    <w:basedOn w:val="Normal"/>
    <w:next w:val="Normal"/>
    <w:autoRedefine/>
    <w:rsid w:val="005D71A9"/>
    <w:pPr>
      <w:tabs>
        <w:tab w:val="right" w:leader="dot" w:pos="8494"/>
      </w:tabs>
      <w:suppressAutoHyphens w:val="0"/>
      <w:spacing w:before="120" w:after="100"/>
      <w:jc w:val="both"/>
    </w:pPr>
    <w:rPr>
      <w:rFonts w:ascii="Calibri" w:eastAsia="Calibri" w:hAnsi="Calibri"/>
      <w:sz w:val="24"/>
      <w:szCs w:val="24"/>
      <w:lang w:eastAsia="en-US"/>
    </w:rPr>
  </w:style>
  <w:style w:type="paragraph" w:styleId="Sumrio2">
    <w:name w:val="toc 2"/>
    <w:basedOn w:val="Normal"/>
    <w:next w:val="Normal"/>
    <w:autoRedefine/>
    <w:uiPriority w:val="39"/>
    <w:rsid w:val="005D71A9"/>
    <w:pPr>
      <w:tabs>
        <w:tab w:val="right" w:leader="dot" w:pos="8494"/>
      </w:tabs>
      <w:suppressAutoHyphens w:val="0"/>
      <w:spacing w:before="120" w:after="100"/>
      <w:jc w:val="both"/>
    </w:pPr>
    <w:rPr>
      <w:rFonts w:ascii="Calibri" w:eastAsia="Calibri" w:hAnsi="Calibri"/>
      <w:sz w:val="24"/>
      <w:szCs w:val="24"/>
      <w:lang w:eastAsia="en-US"/>
    </w:rPr>
  </w:style>
  <w:style w:type="paragraph" w:styleId="Citao">
    <w:name w:val="Quote"/>
    <w:basedOn w:val="Normal"/>
    <w:next w:val="Normal"/>
    <w:link w:val="CitaoChar"/>
    <w:uiPriority w:val="29"/>
    <w:qFormat/>
    <w:rsid w:val="005D71A9"/>
    <w:pPr>
      <w:suppressAutoHyphens w:val="0"/>
      <w:spacing w:before="120" w:after="120" w:line="360" w:lineRule="auto"/>
      <w:ind w:left="1701"/>
      <w:jc w:val="both"/>
    </w:pPr>
    <w:rPr>
      <w:rFonts w:ascii="Calibri" w:eastAsia="Calibri" w:hAnsi="Calibri"/>
      <w:iCs/>
      <w:color w:val="000000"/>
      <w:sz w:val="22"/>
      <w:szCs w:val="24"/>
      <w:lang w:eastAsia="en-US"/>
    </w:rPr>
  </w:style>
  <w:style w:type="character" w:customStyle="1" w:styleId="CitaoChar">
    <w:name w:val="Citação Char"/>
    <w:basedOn w:val="Fontepargpadro"/>
    <w:link w:val="Citao"/>
    <w:uiPriority w:val="29"/>
    <w:rsid w:val="005D71A9"/>
    <w:rPr>
      <w:rFonts w:ascii="Calibri" w:eastAsia="Calibri" w:hAnsi="Calibri" w:cs="Times New Roman"/>
      <w:iCs/>
      <w:color w:val="000000"/>
      <w:szCs w:val="24"/>
    </w:rPr>
  </w:style>
  <w:style w:type="character" w:customStyle="1" w:styleId="highlight">
    <w:name w:val="highlight"/>
    <w:uiPriority w:val="99"/>
    <w:rsid w:val="005D71A9"/>
    <w:rPr>
      <w:rFonts w:cs="Times New Roman"/>
    </w:rPr>
  </w:style>
  <w:style w:type="character" w:styleId="TextodoEspaoReservado">
    <w:name w:val="Placeholder Text"/>
    <w:uiPriority w:val="99"/>
    <w:semiHidden/>
    <w:rsid w:val="005D71A9"/>
    <w:rPr>
      <w:rFonts w:cs="Times New Roman"/>
      <w:color w:val="808080"/>
    </w:rPr>
  </w:style>
  <w:style w:type="paragraph" w:customStyle="1" w:styleId="Default">
    <w:name w:val="Default"/>
    <w:uiPriority w:val="99"/>
    <w:rsid w:val="005D71A9"/>
    <w:pPr>
      <w:autoSpaceDE w:val="0"/>
      <w:autoSpaceDN w:val="0"/>
      <w:adjustRightInd w:val="0"/>
      <w:spacing w:after="0" w:line="240" w:lineRule="auto"/>
    </w:pPr>
    <w:rPr>
      <w:rFonts w:ascii="Calibri" w:eastAsia="SimSun" w:hAnsi="Calibri" w:cs="Calibri"/>
      <w:color w:val="000000"/>
      <w:sz w:val="24"/>
      <w:szCs w:val="24"/>
      <w:lang w:eastAsia="zh-CN"/>
    </w:rPr>
  </w:style>
  <w:style w:type="character" w:styleId="Nmerodepgina">
    <w:name w:val="page number"/>
    <w:uiPriority w:val="99"/>
    <w:rsid w:val="005D71A9"/>
    <w:rPr>
      <w:rFonts w:cs="Times New Roman"/>
    </w:rPr>
  </w:style>
  <w:style w:type="numbering" w:customStyle="1" w:styleId="Semlista1">
    <w:name w:val="Sem lista1"/>
    <w:next w:val="Semlista"/>
    <w:uiPriority w:val="99"/>
    <w:semiHidden/>
    <w:unhideWhenUsed/>
    <w:rsid w:val="005D71A9"/>
  </w:style>
  <w:style w:type="character" w:styleId="HiperlinkVisitado">
    <w:name w:val="FollowedHyperlink"/>
    <w:uiPriority w:val="99"/>
    <w:semiHidden/>
    <w:unhideWhenUsed/>
    <w:rsid w:val="005D71A9"/>
    <w:rPr>
      <w:color w:val="800080"/>
      <w:u w:val="single"/>
    </w:rPr>
  </w:style>
  <w:style w:type="paragraph" w:customStyle="1" w:styleId="msonormal0">
    <w:name w:val="msonormal"/>
    <w:basedOn w:val="Normal"/>
    <w:rsid w:val="005D71A9"/>
    <w:pPr>
      <w:suppressAutoHyphens w:val="0"/>
      <w:spacing w:before="100" w:beforeAutospacing="1" w:after="100" w:afterAutospacing="1"/>
    </w:pPr>
    <w:rPr>
      <w:sz w:val="24"/>
      <w:szCs w:val="24"/>
    </w:rPr>
  </w:style>
  <w:style w:type="paragraph" w:customStyle="1" w:styleId="xl66">
    <w:name w:val="xl66"/>
    <w:basedOn w:val="Normal"/>
    <w:rsid w:val="005D71A9"/>
    <w:pPr>
      <w:suppressAutoHyphens w:val="0"/>
      <w:spacing w:before="100" w:beforeAutospacing="1" w:after="100" w:afterAutospacing="1"/>
    </w:pPr>
    <w:rPr>
      <w:rFonts w:ascii="Helv" w:hAnsi="Helv"/>
      <w:color w:val="008000"/>
      <w:sz w:val="24"/>
      <w:szCs w:val="24"/>
    </w:rPr>
  </w:style>
  <w:style w:type="paragraph" w:customStyle="1" w:styleId="xl67">
    <w:name w:val="xl67"/>
    <w:basedOn w:val="Normal"/>
    <w:rsid w:val="005D71A9"/>
    <w:pPr>
      <w:suppressAutoHyphens w:val="0"/>
      <w:spacing w:before="100" w:beforeAutospacing="1" w:after="100" w:afterAutospacing="1"/>
    </w:pPr>
    <w:rPr>
      <w:rFonts w:ascii="Helv" w:hAnsi="Helv"/>
      <w:color w:val="008000"/>
      <w:sz w:val="24"/>
      <w:szCs w:val="24"/>
    </w:rPr>
  </w:style>
  <w:style w:type="paragraph" w:customStyle="1" w:styleId="xl68">
    <w:name w:val="xl68"/>
    <w:basedOn w:val="Normal"/>
    <w:rsid w:val="005D71A9"/>
    <w:pPr>
      <w:suppressAutoHyphens w:val="0"/>
      <w:spacing w:before="100" w:beforeAutospacing="1" w:after="100" w:afterAutospacing="1"/>
    </w:pPr>
    <w:rPr>
      <w:rFonts w:ascii="Arial" w:hAnsi="Arial" w:cs="Arial"/>
      <w:b/>
      <w:bCs/>
      <w:sz w:val="24"/>
      <w:szCs w:val="24"/>
    </w:rPr>
  </w:style>
  <w:style w:type="paragraph" w:customStyle="1" w:styleId="xl69">
    <w:name w:val="xl69"/>
    <w:basedOn w:val="Normal"/>
    <w:rsid w:val="005D71A9"/>
    <w:pPr>
      <w:shd w:val="clear" w:color="000000" w:fill="C0C0C0"/>
      <w:suppressAutoHyphens w:val="0"/>
      <w:spacing w:before="100" w:beforeAutospacing="1" w:after="100" w:afterAutospacing="1"/>
    </w:pPr>
    <w:rPr>
      <w:rFonts w:ascii="Arial" w:hAnsi="Arial" w:cs="Arial"/>
      <w:b/>
      <w:bCs/>
      <w:color w:val="339966"/>
      <w:sz w:val="24"/>
      <w:szCs w:val="24"/>
    </w:rPr>
  </w:style>
  <w:style w:type="paragraph" w:customStyle="1" w:styleId="xl70">
    <w:name w:val="xl70"/>
    <w:basedOn w:val="Normal"/>
    <w:rsid w:val="005D71A9"/>
    <w:pPr>
      <w:shd w:val="clear" w:color="000000" w:fill="C0C0C0"/>
      <w:suppressAutoHyphens w:val="0"/>
      <w:spacing w:before="100" w:beforeAutospacing="1" w:after="100" w:afterAutospacing="1"/>
    </w:pPr>
    <w:rPr>
      <w:rFonts w:ascii="Arial" w:hAnsi="Arial" w:cs="Arial"/>
      <w:b/>
      <w:bCs/>
      <w:color w:val="339966"/>
      <w:sz w:val="28"/>
      <w:szCs w:val="28"/>
    </w:rPr>
  </w:style>
  <w:style w:type="paragraph" w:customStyle="1" w:styleId="xl71">
    <w:name w:val="xl71"/>
    <w:basedOn w:val="Normal"/>
    <w:rsid w:val="005D71A9"/>
    <w:pPr>
      <w:suppressAutoHyphens w:val="0"/>
      <w:spacing w:before="100" w:beforeAutospacing="1" w:after="100" w:afterAutospacing="1"/>
    </w:pPr>
    <w:rPr>
      <w:rFonts w:ascii="Arial" w:hAnsi="Arial" w:cs="Arial"/>
      <w:b/>
      <w:bCs/>
      <w:sz w:val="28"/>
      <w:szCs w:val="28"/>
    </w:rPr>
  </w:style>
  <w:style w:type="paragraph" w:customStyle="1" w:styleId="xl72">
    <w:name w:val="xl72"/>
    <w:basedOn w:val="Normal"/>
    <w:rsid w:val="005D71A9"/>
    <w:pPr>
      <w:shd w:val="clear" w:color="000000" w:fill="C0C0C0"/>
      <w:suppressAutoHyphens w:val="0"/>
      <w:spacing w:before="100" w:beforeAutospacing="1" w:after="100" w:afterAutospacing="1"/>
    </w:pPr>
    <w:rPr>
      <w:rFonts w:ascii="Arial" w:hAnsi="Arial" w:cs="Arial"/>
      <w:b/>
      <w:bCs/>
      <w:color w:val="339966"/>
      <w:sz w:val="24"/>
      <w:szCs w:val="24"/>
    </w:rPr>
  </w:style>
  <w:style w:type="paragraph" w:customStyle="1" w:styleId="xl73">
    <w:name w:val="xl73"/>
    <w:basedOn w:val="Normal"/>
    <w:rsid w:val="005D71A9"/>
    <w:pPr>
      <w:suppressAutoHyphens w:val="0"/>
      <w:spacing w:before="100" w:beforeAutospacing="1" w:after="100" w:afterAutospacing="1"/>
    </w:pPr>
    <w:rPr>
      <w:rFonts w:ascii="Helv" w:hAnsi="Helv"/>
      <w:color w:val="008000"/>
      <w:sz w:val="28"/>
      <w:szCs w:val="28"/>
    </w:rPr>
  </w:style>
  <w:style w:type="paragraph" w:customStyle="1" w:styleId="xl74">
    <w:name w:val="xl74"/>
    <w:basedOn w:val="Normal"/>
    <w:rsid w:val="005D71A9"/>
    <w:pPr>
      <w:suppressAutoHyphens w:val="0"/>
      <w:spacing w:before="100" w:beforeAutospacing="1" w:after="100" w:afterAutospacing="1"/>
    </w:pPr>
    <w:rPr>
      <w:rFonts w:ascii="Arial" w:hAnsi="Arial" w:cs="Arial"/>
      <w:sz w:val="28"/>
      <w:szCs w:val="28"/>
    </w:rPr>
  </w:style>
  <w:style w:type="paragraph" w:customStyle="1" w:styleId="xl75">
    <w:name w:val="xl75"/>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sz w:val="24"/>
      <w:szCs w:val="24"/>
    </w:rPr>
  </w:style>
  <w:style w:type="paragraph" w:customStyle="1" w:styleId="xl76">
    <w:name w:val="xl76"/>
    <w:basedOn w:val="Normal"/>
    <w:rsid w:val="005D71A9"/>
    <w:pPr>
      <w:pBdr>
        <w:top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77">
    <w:name w:val="xl77"/>
    <w:basedOn w:val="Normal"/>
    <w:rsid w:val="005D71A9"/>
    <w:pPr>
      <w:pBdr>
        <w:top w:val="single" w:sz="4" w:space="0" w:color="auto"/>
        <w:left w:val="dashed"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5D71A9"/>
    <w:pPr>
      <w:pBdr>
        <w:top w:val="dashed" w:sz="4" w:space="0" w:color="auto"/>
        <w:right w:val="single" w:sz="4" w:space="0" w:color="auto"/>
      </w:pBdr>
      <w:shd w:val="clear" w:color="000000" w:fill="FFFFFF"/>
      <w:suppressAutoHyphens w:val="0"/>
      <w:spacing w:before="100" w:beforeAutospacing="1" w:after="100" w:afterAutospacing="1"/>
      <w:jc w:val="center"/>
    </w:pPr>
    <w:rPr>
      <w:rFonts w:ascii="Helv" w:hAnsi="Helv"/>
      <w:b/>
      <w:bCs/>
      <w:sz w:val="24"/>
      <w:szCs w:val="24"/>
    </w:rPr>
  </w:style>
  <w:style w:type="paragraph" w:customStyle="1" w:styleId="xl79">
    <w:name w:val="xl79"/>
    <w:basedOn w:val="Normal"/>
    <w:rsid w:val="005D71A9"/>
    <w:pPr>
      <w:pBdr>
        <w:top w:val="dashed" w:sz="4" w:space="0" w:color="auto"/>
        <w:left w:val="single" w:sz="4" w:space="0" w:color="auto"/>
        <w:right w:val="single" w:sz="4" w:space="0" w:color="auto"/>
      </w:pBdr>
      <w:shd w:val="clear" w:color="000000" w:fill="FFFFFF"/>
      <w:suppressAutoHyphens w:val="0"/>
      <w:spacing w:before="100" w:beforeAutospacing="1" w:after="100" w:afterAutospacing="1"/>
      <w:jc w:val="center"/>
    </w:pPr>
    <w:rPr>
      <w:rFonts w:ascii="Helv" w:hAnsi="Helv"/>
      <w:b/>
      <w:bCs/>
      <w:sz w:val="24"/>
      <w:szCs w:val="24"/>
    </w:rPr>
  </w:style>
  <w:style w:type="paragraph" w:customStyle="1" w:styleId="xl80">
    <w:name w:val="xl80"/>
    <w:basedOn w:val="Normal"/>
    <w:rsid w:val="005D71A9"/>
    <w:pPr>
      <w:pBdr>
        <w:top w:val="dashed" w:sz="4" w:space="0" w:color="auto"/>
        <w:left w:val="single" w:sz="4" w:space="0" w:color="auto"/>
      </w:pBdr>
      <w:shd w:val="clear" w:color="000000" w:fill="FFFFFF"/>
      <w:suppressAutoHyphens w:val="0"/>
      <w:spacing w:before="100" w:beforeAutospacing="1" w:after="100" w:afterAutospacing="1"/>
      <w:jc w:val="center"/>
    </w:pPr>
    <w:rPr>
      <w:rFonts w:ascii="Helv" w:hAnsi="Helv"/>
      <w:b/>
      <w:bCs/>
      <w:sz w:val="24"/>
      <w:szCs w:val="24"/>
    </w:rPr>
  </w:style>
  <w:style w:type="paragraph" w:customStyle="1" w:styleId="xl81">
    <w:name w:val="xl81"/>
    <w:basedOn w:val="Normal"/>
    <w:rsid w:val="005D71A9"/>
    <w:pPr>
      <w:pBdr>
        <w:top w:val="dashed" w:sz="4" w:space="0" w:color="auto"/>
        <w:left w:val="single" w:sz="4" w:space="0" w:color="auto"/>
        <w:right w:val="dashed" w:sz="4" w:space="0" w:color="auto"/>
      </w:pBdr>
      <w:shd w:val="clear" w:color="000000" w:fill="FFFFFF"/>
      <w:suppressAutoHyphens w:val="0"/>
      <w:spacing w:before="100" w:beforeAutospacing="1" w:after="100" w:afterAutospacing="1"/>
      <w:jc w:val="center"/>
    </w:pPr>
    <w:rPr>
      <w:rFonts w:ascii="Helv" w:hAnsi="Helv"/>
      <w:b/>
      <w:bCs/>
      <w:sz w:val="24"/>
      <w:szCs w:val="24"/>
    </w:rPr>
  </w:style>
  <w:style w:type="paragraph" w:customStyle="1" w:styleId="xl82">
    <w:name w:val="xl82"/>
    <w:basedOn w:val="Normal"/>
    <w:rsid w:val="005D71A9"/>
    <w:pP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83">
    <w:name w:val="xl83"/>
    <w:basedOn w:val="Normal"/>
    <w:rsid w:val="005D71A9"/>
    <w:pPr>
      <w:pBdr>
        <w:left w:val="dashed"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84">
    <w:name w:val="xl84"/>
    <w:basedOn w:val="Normal"/>
    <w:rsid w:val="005D71A9"/>
    <w:pPr>
      <w:pBdr>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85">
    <w:name w:val="xl85"/>
    <w:basedOn w:val="Normal"/>
    <w:rsid w:val="005D71A9"/>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4"/>
      <w:szCs w:val="24"/>
    </w:rPr>
  </w:style>
  <w:style w:type="paragraph" w:customStyle="1" w:styleId="xl86">
    <w:name w:val="xl86"/>
    <w:basedOn w:val="Normal"/>
    <w:rsid w:val="005D71A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24"/>
      <w:szCs w:val="24"/>
    </w:rPr>
  </w:style>
  <w:style w:type="paragraph" w:customStyle="1" w:styleId="xl87">
    <w:name w:val="xl87"/>
    <w:basedOn w:val="Normal"/>
    <w:rsid w:val="005D71A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24"/>
      <w:szCs w:val="24"/>
    </w:rPr>
  </w:style>
  <w:style w:type="paragraph" w:customStyle="1" w:styleId="xl88">
    <w:name w:val="xl88"/>
    <w:basedOn w:val="Normal"/>
    <w:rsid w:val="005D71A9"/>
    <w:pPr>
      <w:pBdr>
        <w:right w:val="single" w:sz="4" w:space="0" w:color="auto"/>
      </w:pBdr>
      <w:shd w:val="clear" w:color="000000" w:fill="FFFFFF"/>
      <w:suppressAutoHyphens w:val="0"/>
      <w:spacing w:before="100" w:beforeAutospacing="1" w:after="100" w:afterAutospacing="1"/>
      <w:jc w:val="right"/>
    </w:pPr>
    <w:rPr>
      <w:rFonts w:ascii="Helv" w:hAnsi="Helv"/>
      <w:b/>
      <w:bCs/>
      <w:sz w:val="24"/>
      <w:szCs w:val="24"/>
    </w:rPr>
  </w:style>
  <w:style w:type="paragraph" w:customStyle="1" w:styleId="xl89">
    <w:name w:val="xl89"/>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24"/>
      <w:szCs w:val="24"/>
    </w:rPr>
  </w:style>
  <w:style w:type="paragraph" w:customStyle="1" w:styleId="xl90">
    <w:name w:val="xl90"/>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24"/>
      <w:szCs w:val="24"/>
    </w:rPr>
  </w:style>
  <w:style w:type="paragraph" w:customStyle="1" w:styleId="xl91">
    <w:name w:val="xl91"/>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b/>
      <w:bCs/>
      <w:sz w:val="24"/>
      <w:szCs w:val="24"/>
    </w:rPr>
  </w:style>
  <w:style w:type="paragraph" w:customStyle="1" w:styleId="xl92">
    <w:name w:val="xl92"/>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4"/>
      <w:szCs w:val="24"/>
    </w:rPr>
  </w:style>
  <w:style w:type="paragraph" w:customStyle="1" w:styleId="xl93">
    <w:name w:val="xl93"/>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4"/>
      <w:szCs w:val="24"/>
    </w:rPr>
  </w:style>
  <w:style w:type="paragraph" w:customStyle="1" w:styleId="xl94">
    <w:name w:val="xl94"/>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4"/>
      <w:szCs w:val="24"/>
    </w:rPr>
  </w:style>
  <w:style w:type="paragraph" w:customStyle="1" w:styleId="xl95">
    <w:name w:val="xl95"/>
    <w:basedOn w:val="Normal"/>
    <w:rsid w:val="005D71A9"/>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4"/>
      <w:szCs w:val="24"/>
    </w:rPr>
  </w:style>
  <w:style w:type="paragraph" w:customStyle="1" w:styleId="xl96">
    <w:name w:val="xl96"/>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sz w:val="24"/>
      <w:szCs w:val="24"/>
    </w:rPr>
  </w:style>
  <w:style w:type="paragraph" w:customStyle="1" w:styleId="xl97">
    <w:name w:val="xl97"/>
    <w:basedOn w:val="Normal"/>
    <w:rsid w:val="005D71A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b/>
      <w:bCs/>
      <w:sz w:val="24"/>
      <w:szCs w:val="24"/>
    </w:rPr>
  </w:style>
  <w:style w:type="paragraph" w:customStyle="1" w:styleId="xl98">
    <w:name w:val="xl98"/>
    <w:basedOn w:val="Normal"/>
    <w:rsid w:val="005D71A9"/>
    <w:pPr>
      <w:shd w:val="clear" w:color="000000" w:fill="FFFFFF"/>
      <w:suppressAutoHyphens w:val="0"/>
      <w:spacing w:before="100" w:beforeAutospacing="1" w:after="100" w:afterAutospacing="1"/>
    </w:pPr>
    <w:rPr>
      <w:rFonts w:ascii="Arial" w:hAnsi="Arial" w:cs="Arial"/>
      <w:sz w:val="24"/>
      <w:szCs w:val="24"/>
    </w:rPr>
  </w:style>
  <w:style w:type="paragraph" w:customStyle="1" w:styleId="xl99">
    <w:name w:val="xl99"/>
    <w:basedOn w:val="Normal"/>
    <w:rsid w:val="005D71A9"/>
    <w:pPr>
      <w:pBdr>
        <w:right w:val="single" w:sz="4" w:space="0" w:color="auto"/>
      </w:pBdr>
      <w:shd w:val="clear" w:color="000000" w:fill="FFFFFF"/>
      <w:suppressAutoHyphens w:val="0"/>
      <w:spacing w:before="100" w:beforeAutospacing="1" w:after="100" w:afterAutospacing="1"/>
    </w:pPr>
    <w:rPr>
      <w:rFonts w:ascii="Arial" w:hAnsi="Arial" w:cs="Arial"/>
      <w:sz w:val="24"/>
      <w:szCs w:val="24"/>
    </w:rPr>
  </w:style>
  <w:style w:type="paragraph" w:customStyle="1" w:styleId="xl100">
    <w:name w:val="xl100"/>
    <w:basedOn w:val="Normal"/>
    <w:rsid w:val="005D71A9"/>
    <w:pPr>
      <w:pBdr>
        <w:bottom w:val="single" w:sz="4" w:space="0" w:color="auto"/>
      </w:pBdr>
      <w:shd w:val="clear" w:color="000000" w:fill="FFFFFF"/>
      <w:suppressAutoHyphens w:val="0"/>
      <w:spacing w:before="100" w:beforeAutospacing="1" w:after="100" w:afterAutospacing="1"/>
    </w:pPr>
    <w:rPr>
      <w:rFonts w:ascii="Arial" w:hAnsi="Arial" w:cs="Arial"/>
      <w:b/>
      <w:bCs/>
      <w:sz w:val="24"/>
      <w:szCs w:val="24"/>
    </w:rPr>
  </w:style>
  <w:style w:type="paragraph" w:customStyle="1" w:styleId="xl101">
    <w:name w:val="xl101"/>
    <w:basedOn w:val="Normal"/>
    <w:rsid w:val="005D71A9"/>
    <w:pPr>
      <w:pBdr>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b/>
      <w:bCs/>
      <w:sz w:val="24"/>
      <w:szCs w:val="24"/>
    </w:rPr>
  </w:style>
  <w:style w:type="paragraph" w:styleId="Sumrio3">
    <w:name w:val="toc 3"/>
    <w:basedOn w:val="Normal"/>
    <w:next w:val="Normal"/>
    <w:autoRedefine/>
    <w:uiPriority w:val="39"/>
    <w:unhideWhenUsed/>
    <w:rsid w:val="005D71A9"/>
    <w:pPr>
      <w:tabs>
        <w:tab w:val="right" w:leader="dot" w:pos="8494"/>
      </w:tabs>
      <w:suppressAutoHyphens w:val="0"/>
      <w:spacing w:before="120" w:after="120" w:line="360" w:lineRule="auto"/>
      <w:ind w:firstLine="87"/>
      <w:jc w:val="both"/>
    </w:pPr>
    <w:rPr>
      <w:rFonts w:ascii="Calibri" w:eastAsia="Calibri" w:hAnsi="Calibri"/>
      <w:sz w:val="24"/>
      <w:szCs w:val="24"/>
      <w:lang w:eastAsia="en-US"/>
    </w:rPr>
  </w:style>
  <w:style w:type="numbering" w:customStyle="1" w:styleId="Semlista2">
    <w:name w:val="Sem lista2"/>
    <w:next w:val="Semlista"/>
    <w:uiPriority w:val="99"/>
    <w:semiHidden/>
    <w:unhideWhenUsed/>
    <w:rsid w:val="005D71A9"/>
  </w:style>
  <w:style w:type="paragraph" w:customStyle="1" w:styleId="Normal10">
    <w:name w:val="Normal1"/>
    <w:rsid w:val="00717829"/>
    <w:rPr>
      <w:rFonts w:ascii="Calibri" w:eastAsia="Calibri" w:hAnsi="Calibri" w:cs="Calibri"/>
      <w:lang w:eastAsia="pt-BR"/>
    </w:rPr>
  </w:style>
  <w:style w:type="character" w:customStyle="1" w:styleId="label">
    <w:name w:val="label"/>
    <w:basedOn w:val="Fontepargpadro"/>
    <w:rsid w:val="00D94104"/>
  </w:style>
  <w:style w:type="character" w:customStyle="1" w:styleId="titulo">
    <w:name w:val="titulo"/>
    <w:basedOn w:val="Fontepargpadro"/>
    <w:rsid w:val="00D94104"/>
  </w:style>
  <w:style w:type="character" w:customStyle="1" w:styleId="clear">
    <w:name w:val="clear"/>
    <w:rsid w:val="00437915"/>
  </w:style>
  <w:style w:type="character" w:customStyle="1" w:styleId="Ttulo6Char">
    <w:name w:val="Título 6 Char"/>
    <w:basedOn w:val="Fontepargpadro"/>
    <w:link w:val="Ttulo6"/>
    <w:uiPriority w:val="9"/>
    <w:semiHidden/>
    <w:rsid w:val="003E300B"/>
    <w:rPr>
      <w:rFonts w:ascii="Calibri" w:eastAsia="Times New Roman" w:hAnsi="Calibri" w:cs="Times New Roman"/>
      <w:i/>
      <w:iCs/>
      <w:color w:val="595959"/>
      <w:kern w:val="2"/>
    </w:rPr>
  </w:style>
  <w:style w:type="character" w:customStyle="1" w:styleId="Ttulo7Char">
    <w:name w:val="Título 7 Char"/>
    <w:basedOn w:val="Fontepargpadro"/>
    <w:link w:val="Ttulo7"/>
    <w:uiPriority w:val="9"/>
    <w:semiHidden/>
    <w:rsid w:val="003E300B"/>
    <w:rPr>
      <w:rFonts w:ascii="Calibri" w:eastAsia="Times New Roman" w:hAnsi="Calibri" w:cs="Times New Roman"/>
      <w:color w:val="595959"/>
      <w:kern w:val="2"/>
    </w:rPr>
  </w:style>
  <w:style w:type="character" w:customStyle="1" w:styleId="Ttulo8Char">
    <w:name w:val="Título 8 Char"/>
    <w:basedOn w:val="Fontepargpadro"/>
    <w:link w:val="Ttulo8"/>
    <w:uiPriority w:val="9"/>
    <w:semiHidden/>
    <w:rsid w:val="003E300B"/>
    <w:rPr>
      <w:rFonts w:ascii="Calibri" w:eastAsia="Times New Roman" w:hAnsi="Calibri" w:cs="Times New Roman"/>
      <w:i/>
      <w:iCs/>
      <w:color w:val="272727"/>
      <w:kern w:val="2"/>
    </w:rPr>
  </w:style>
  <w:style w:type="character" w:customStyle="1" w:styleId="Ttulo9Char">
    <w:name w:val="Título 9 Char"/>
    <w:basedOn w:val="Fontepargpadro"/>
    <w:link w:val="Ttulo9"/>
    <w:uiPriority w:val="9"/>
    <w:semiHidden/>
    <w:rsid w:val="003E300B"/>
    <w:rPr>
      <w:rFonts w:ascii="Calibri" w:eastAsia="Times New Roman" w:hAnsi="Calibri" w:cs="Times New Roman"/>
      <w:color w:val="272727"/>
      <w:kern w:val="2"/>
    </w:rPr>
  </w:style>
  <w:style w:type="paragraph" w:customStyle="1" w:styleId="Estilo1">
    <w:name w:val="Estilo1"/>
    <w:basedOn w:val="Normal"/>
    <w:next w:val="Sumrio1"/>
    <w:rsid w:val="003E300B"/>
    <w:pPr>
      <w:suppressAutoHyphens w:val="0"/>
      <w:jc w:val="both"/>
    </w:pPr>
    <w:rPr>
      <w:rFonts w:ascii="Arial" w:hAnsi="Arial" w:cs="Arial"/>
      <w:sz w:val="24"/>
      <w:szCs w:val="24"/>
    </w:rPr>
  </w:style>
  <w:style w:type="paragraph" w:customStyle="1" w:styleId="Normal2">
    <w:name w:val="Normal2"/>
    <w:rsid w:val="003E300B"/>
    <w:pPr>
      <w:spacing w:after="0"/>
    </w:pPr>
    <w:rPr>
      <w:rFonts w:ascii="Arial" w:eastAsia="Arial" w:hAnsi="Arial" w:cs="Arial"/>
      <w:lang w:eastAsia="pt-BR"/>
    </w:rPr>
  </w:style>
  <w:style w:type="character" w:customStyle="1" w:styleId="CitaoChar1">
    <w:name w:val="Citação Char1"/>
    <w:basedOn w:val="Fontepargpadro"/>
    <w:uiPriority w:val="29"/>
    <w:rsid w:val="003E300B"/>
    <w:rPr>
      <w:i/>
      <w:iCs/>
      <w:color w:val="404040" w:themeColor="text1" w:themeTint="BF"/>
    </w:rPr>
  </w:style>
  <w:style w:type="character" w:customStyle="1" w:styleId="CitaoIntensaChar">
    <w:name w:val="Citação Intensa Char"/>
    <w:basedOn w:val="Fontepargpadro"/>
    <w:link w:val="CitaoIntensa"/>
    <w:uiPriority w:val="30"/>
    <w:rsid w:val="003E300B"/>
    <w:rPr>
      <w:rFonts w:ascii="Calibri" w:eastAsia="Calibri" w:hAnsi="Calibri"/>
      <w:i/>
      <w:iCs/>
      <w:color w:val="365F91"/>
      <w:kern w:val="2"/>
    </w:rPr>
  </w:style>
  <w:style w:type="paragraph" w:styleId="CitaoIntensa">
    <w:name w:val="Intense Quote"/>
    <w:basedOn w:val="Normal"/>
    <w:next w:val="Normal"/>
    <w:link w:val="CitaoIntensaChar"/>
    <w:uiPriority w:val="30"/>
    <w:qFormat/>
    <w:rsid w:val="003E300B"/>
    <w:pPr>
      <w:pBdr>
        <w:top w:val="single" w:sz="4" w:space="10" w:color="365F91"/>
        <w:bottom w:val="single" w:sz="4" w:space="10" w:color="365F91"/>
      </w:pBdr>
      <w:suppressAutoHyphens w:val="0"/>
      <w:spacing w:before="360" w:after="360" w:line="259" w:lineRule="auto"/>
      <w:ind w:left="864" w:right="864"/>
      <w:jc w:val="center"/>
    </w:pPr>
    <w:rPr>
      <w:rFonts w:ascii="Calibri" w:eastAsia="Calibri" w:hAnsi="Calibri" w:cstheme="minorBidi"/>
      <w:i/>
      <w:iCs/>
      <w:color w:val="365F91"/>
      <w:kern w:val="2"/>
      <w:sz w:val="22"/>
      <w:szCs w:val="22"/>
      <w:lang w:eastAsia="en-US"/>
    </w:rPr>
  </w:style>
  <w:style w:type="character" w:customStyle="1" w:styleId="CitaoIntensaChar1">
    <w:name w:val="Citação Intensa Char1"/>
    <w:basedOn w:val="Fontepargpadro"/>
    <w:uiPriority w:val="30"/>
    <w:rsid w:val="003E300B"/>
    <w:rPr>
      <w:rFonts w:ascii="Times New Roman" w:eastAsia="Times New Roman" w:hAnsi="Times New Roman" w:cs="Times New Roman"/>
      <w:i/>
      <w:iCs/>
      <w:color w:val="4472C4"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795368395">
      <w:bodyDiv w:val="1"/>
      <w:marLeft w:val="0"/>
      <w:marRight w:val="0"/>
      <w:marTop w:val="0"/>
      <w:marBottom w:val="0"/>
      <w:divBdr>
        <w:top w:val="none" w:sz="0" w:space="0" w:color="auto"/>
        <w:left w:val="none" w:sz="0" w:space="0" w:color="auto"/>
        <w:bottom w:val="none" w:sz="0" w:space="0" w:color="auto"/>
        <w:right w:val="none" w:sz="0" w:space="0" w:color="auto"/>
      </w:divBdr>
    </w:div>
    <w:div w:id="1173642437">
      <w:bodyDiv w:val="1"/>
      <w:marLeft w:val="0"/>
      <w:marRight w:val="0"/>
      <w:marTop w:val="0"/>
      <w:marBottom w:val="0"/>
      <w:divBdr>
        <w:top w:val="none" w:sz="0" w:space="0" w:color="auto"/>
        <w:left w:val="none" w:sz="0" w:space="0" w:color="auto"/>
        <w:bottom w:val="none" w:sz="0" w:space="0" w:color="auto"/>
        <w:right w:val="none" w:sz="0" w:space="0" w:color="auto"/>
      </w:divBdr>
    </w:div>
    <w:div w:id="1423260790">
      <w:bodyDiv w:val="1"/>
      <w:marLeft w:val="0"/>
      <w:marRight w:val="0"/>
      <w:marTop w:val="0"/>
      <w:marBottom w:val="0"/>
      <w:divBdr>
        <w:top w:val="none" w:sz="0" w:space="0" w:color="auto"/>
        <w:left w:val="none" w:sz="0" w:space="0" w:color="auto"/>
        <w:bottom w:val="none" w:sz="0" w:space="0" w:color="auto"/>
        <w:right w:val="none" w:sz="0" w:space="0" w:color="auto"/>
      </w:divBdr>
    </w:div>
    <w:div w:id="1871064400">
      <w:bodyDiv w:val="1"/>
      <w:marLeft w:val="0"/>
      <w:marRight w:val="0"/>
      <w:marTop w:val="0"/>
      <w:marBottom w:val="0"/>
      <w:divBdr>
        <w:top w:val="none" w:sz="0" w:space="0" w:color="auto"/>
        <w:left w:val="none" w:sz="0" w:space="0" w:color="auto"/>
        <w:bottom w:val="none" w:sz="0" w:space="0" w:color="auto"/>
        <w:right w:val="none" w:sz="0" w:space="0" w:color="auto"/>
      </w:divBdr>
    </w:div>
    <w:div w:id="1886408813">
      <w:bodyDiv w:val="1"/>
      <w:marLeft w:val="0"/>
      <w:marRight w:val="0"/>
      <w:marTop w:val="0"/>
      <w:marBottom w:val="0"/>
      <w:divBdr>
        <w:top w:val="none" w:sz="0" w:space="0" w:color="auto"/>
        <w:left w:val="none" w:sz="0" w:space="0" w:color="auto"/>
        <w:bottom w:val="none" w:sz="0" w:space="0" w:color="auto"/>
        <w:right w:val="none" w:sz="0" w:space="0" w:color="auto"/>
      </w:divBdr>
    </w:div>
    <w:div w:id="1920745729">
      <w:bodyDiv w:val="1"/>
      <w:marLeft w:val="0"/>
      <w:marRight w:val="0"/>
      <w:marTop w:val="0"/>
      <w:marBottom w:val="0"/>
      <w:divBdr>
        <w:top w:val="none" w:sz="0" w:space="0" w:color="auto"/>
        <w:left w:val="none" w:sz="0" w:space="0" w:color="auto"/>
        <w:bottom w:val="none" w:sz="0" w:space="0" w:color="auto"/>
        <w:right w:val="none" w:sz="0" w:space="0" w:color="auto"/>
      </w:divBdr>
    </w:div>
    <w:div w:id="2109815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FA80-795F-44C1-8FC7-7051F8A9B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11424</Words>
  <Characters>61694</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planeja</dc:creator>
  <cp:lastModifiedBy>MAQUINA01</cp:lastModifiedBy>
  <cp:revision>2</cp:revision>
  <cp:lastPrinted>2024-10-25T13:44:00Z</cp:lastPrinted>
  <dcterms:created xsi:type="dcterms:W3CDTF">2025-01-17T16:40:00Z</dcterms:created>
  <dcterms:modified xsi:type="dcterms:W3CDTF">2025-01-17T16:40:00Z</dcterms:modified>
</cp:coreProperties>
</file>